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3F01BB">
        <w:rPr>
          <w:rFonts w:ascii="Times New Roman" w:hAnsi="Times New Roman" w:cs="Times New Roman"/>
          <w:b/>
          <w:sz w:val="28"/>
          <w:szCs w:val="28"/>
        </w:rPr>
        <w:t>ИРКЛИЕВСКОГО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3F01BB">
        <w:rPr>
          <w:rFonts w:ascii="Times New Roman" w:eastAsia="Times New Roman" w:hAnsi="Times New Roman" w:cs="Times New Roman"/>
          <w:sz w:val="24"/>
          <w:szCs w:val="24"/>
          <w:lang w:eastAsia="ru-RU"/>
        </w:rPr>
        <w:t>Ирклиевского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3F01BB">
        <w:rPr>
          <w:rFonts w:ascii="Times New Roman" w:eastAsia="Times New Roman" w:hAnsi="Times New Roman" w:cs="Times New Roman"/>
          <w:sz w:val="24"/>
          <w:szCs w:val="24"/>
          <w:lang w:eastAsia="ru-RU"/>
        </w:rPr>
        <w:t>Ирклиевского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3F01BB">
        <w:rPr>
          <w:rFonts w:ascii="Times New Roman" w:eastAsia="Calibri" w:hAnsi="Times New Roman" w:cs="Times New Roman"/>
          <w:b/>
          <w:sz w:val="24"/>
          <w:szCs w:val="24"/>
        </w:rPr>
        <w:t>Ирклиевского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3F01BB">
        <w:rPr>
          <w:rFonts w:ascii="Times New Roman" w:eastAsia="Calibri" w:hAnsi="Times New Roman" w:cs="Times New Roman"/>
          <w:b/>
          <w:sz w:val="24"/>
          <w:szCs w:val="24"/>
        </w:rPr>
        <w:t>Ирклиевского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693"/>
        <w:gridCol w:w="3685"/>
      </w:tblGrid>
      <w:tr w:rsidR="003F01BB" w:rsidRPr="00574288" w:rsidTr="003F01BB">
        <w:trPr>
          <w:trHeight w:val="190"/>
        </w:trPr>
        <w:tc>
          <w:tcPr>
            <w:tcW w:w="567" w:type="dxa"/>
            <w:vMerge w:val="restart"/>
          </w:tcPr>
          <w:p w:rsidR="003F01BB" w:rsidRPr="00574288" w:rsidRDefault="003F01BB" w:rsidP="003F01BB">
            <w:pPr>
              <w:spacing w:before="206"/>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w:t>
            </w:r>
            <w:r w:rsidRPr="00574288">
              <w:rPr>
                <w:rFonts w:ascii="Times New Roman" w:eastAsia="Times New Roman" w:hAnsi="Times New Roman" w:cs="Times New Roman"/>
                <w:spacing w:val="-1"/>
                <w:lang w:val="ru-RU"/>
              </w:rPr>
              <w:t xml:space="preserve"> </w:t>
            </w:r>
            <w:proofErr w:type="gramStart"/>
            <w:r w:rsidRPr="00574288">
              <w:rPr>
                <w:rFonts w:ascii="Times New Roman" w:eastAsia="Times New Roman" w:hAnsi="Times New Roman" w:cs="Times New Roman"/>
                <w:lang w:val="ru-RU"/>
              </w:rPr>
              <w:t>п</w:t>
            </w:r>
            <w:proofErr w:type="gramEnd"/>
            <w:r w:rsidRPr="00574288">
              <w:rPr>
                <w:rFonts w:ascii="Times New Roman" w:eastAsia="Times New Roman" w:hAnsi="Times New Roman" w:cs="Times New Roman"/>
                <w:lang w:val="ru-RU"/>
              </w:rPr>
              <w:t>/п</w:t>
            </w:r>
          </w:p>
        </w:tc>
        <w:tc>
          <w:tcPr>
            <w:tcW w:w="2694" w:type="dxa"/>
            <w:vMerge w:val="restart"/>
          </w:tcPr>
          <w:p w:rsidR="003F01BB" w:rsidRPr="00574288" w:rsidRDefault="003F01BB" w:rsidP="003F01BB">
            <w:pPr>
              <w:jc w:val="center"/>
              <w:rPr>
                <w:rFonts w:ascii="Times New Roman" w:eastAsia="Times New Roman" w:hAnsi="Times New Roman" w:cs="Times New Roman"/>
                <w:spacing w:val="-1"/>
                <w:lang w:val="ru-RU"/>
              </w:rPr>
            </w:pPr>
          </w:p>
          <w:p w:rsidR="003F01BB" w:rsidRPr="00574288" w:rsidRDefault="003F01BB" w:rsidP="003F01BB">
            <w:pPr>
              <w:tabs>
                <w:tab w:val="left" w:pos="1560"/>
              </w:tabs>
              <w:ind w:left="142"/>
              <w:rPr>
                <w:rFonts w:ascii="Times New Roman" w:eastAsia="Times New Roman" w:hAnsi="Times New Roman" w:cs="Times New Roman"/>
                <w:spacing w:val="-57"/>
                <w:lang w:val="ru-RU"/>
              </w:rPr>
            </w:pPr>
            <w:r w:rsidRPr="00574288">
              <w:rPr>
                <w:rFonts w:ascii="Times New Roman" w:eastAsia="Times New Roman" w:hAnsi="Times New Roman" w:cs="Times New Roman"/>
                <w:spacing w:val="-1"/>
                <w:lang w:val="ru-RU"/>
              </w:rPr>
              <w:t xml:space="preserve">Наименование </w:t>
            </w:r>
            <w:r w:rsidRPr="00574288">
              <w:rPr>
                <w:rFonts w:ascii="Times New Roman" w:eastAsia="Times New Roman" w:hAnsi="Times New Roman" w:cs="Times New Roman"/>
                <w:spacing w:val="-57"/>
                <w:lang w:val="ru-RU"/>
              </w:rPr>
              <w:t xml:space="preserve">            </w:t>
            </w:r>
            <w:r w:rsidRPr="00574288">
              <w:rPr>
                <w:rFonts w:ascii="Times New Roman" w:eastAsia="Times New Roman" w:hAnsi="Times New Roman" w:cs="Times New Roman"/>
                <w:lang w:val="ru-RU"/>
              </w:rPr>
              <w:t>населенных</w:t>
            </w:r>
            <w:r w:rsidRPr="00574288">
              <w:rPr>
                <w:rFonts w:ascii="Times New Roman" w:eastAsia="Times New Roman" w:hAnsi="Times New Roman" w:cs="Times New Roman"/>
                <w:spacing w:val="1"/>
                <w:lang w:val="ru-RU"/>
              </w:rPr>
              <w:t xml:space="preserve"> </w:t>
            </w:r>
            <w:r w:rsidRPr="00574288">
              <w:rPr>
                <w:rFonts w:ascii="Times New Roman" w:eastAsia="Times New Roman" w:hAnsi="Times New Roman" w:cs="Times New Roman"/>
                <w:lang w:val="ru-RU"/>
              </w:rPr>
              <w:t>пунктов в поселении</w:t>
            </w:r>
          </w:p>
        </w:tc>
        <w:tc>
          <w:tcPr>
            <w:tcW w:w="2693" w:type="dxa"/>
            <w:tcBorders>
              <w:bottom w:val="single" w:sz="4" w:space="0" w:color="auto"/>
              <w:right w:val="single" w:sz="6" w:space="0" w:color="000000"/>
            </w:tcBorders>
          </w:tcPr>
          <w:p w:rsidR="003F01BB" w:rsidRPr="00574288" w:rsidRDefault="003F01BB" w:rsidP="003F01BB">
            <w:pPr>
              <w:jc w:val="center"/>
              <w:rPr>
                <w:rFonts w:ascii="Times New Roman" w:eastAsia="Times New Roman" w:hAnsi="Times New Roman" w:cs="Times New Roman"/>
              </w:rPr>
            </w:pPr>
            <w:r w:rsidRPr="00574288">
              <w:rPr>
                <w:rFonts w:ascii="Times New Roman" w:eastAsia="Times New Roman" w:hAnsi="Times New Roman" w:cs="Times New Roman"/>
                <w:lang w:val="ru-RU"/>
              </w:rPr>
              <w:t>Статус</w:t>
            </w:r>
          </w:p>
        </w:tc>
        <w:tc>
          <w:tcPr>
            <w:tcW w:w="3685" w:type="dxa"/>
            <w:vMerge w:val="restart"/>
            <w:tcBorders>
              <w:left w:val="single" w:sz="6" w:space="0" w:color="000000"/>
            </w:tcBorders>
          </w:tcPr>
          <w:p w:rsidR="003F01BB" w:rsidRPr="00574288" w:rsidRDefault="003F01BB" w:rsidP="003F01BB">
            <w:pPr>
              <w:spacing w:before="206"/>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Роль</w:t>
            </w:r>
            <w:r w:rsidRPr="00574288">
              <w:rPr>
                <w:rFonts w:ascii="Times New Roman" w:eastAsia="Times New Roman" w:hAnsi="Times New Roman" w:cs="Times New Roman"/>
                <w:spacing w:val="-2"/>
                <w:lang w:val="ru-RU"/>
              </w:rPr>
              <w:t xml:space="preserve"> </w:t>
            </w:r>
            <w:r w:rsidRPr="00574288">
              <w:rPr>
                <w:rFonts w:ascii="Times New Roman" w:eastAsia="Times New Roman" w:hAnsi="Times New Roman" w:cs="Times New Roman"/>
                <w:lang w:val="ru-RU"/>
              </w:rPr>
              <w:t>поселения</w:t>
            </w:r>
            <w:r w:rsidRPr="00574288">
              <w:rPr>
                <w:rFonts w:ascii="Times New Roman" w:eastAsia="Times New Roman" w:hAnsi="Times New Roman" w:cs="Times New Roman"/>
                <w:spacing w:val="-3"/>
                <w:lang w:val="ru-RU"/>
              </w:rPr>
              <w:t xml:space="preserve"> </w:t>
            </w:r>
            <w:r w:rsidRPr="00574288">
              <w:rPr>
                <w:rFonts w:ascii="Times New Roman" w:eastAsia="Times New Roman" w:hAnsi="Times New Roman" w:cs="Times New Roman"/>
                <w:lang w:val="ru-RU"/>
              </w:rPr>
              <w:t>в</w:t>
            </w:r>
            <w:r w:rsidRPr="00574288">
              <w:rPr>
                <w:rFonts w:ascii="Times New Roman" w:eastAsia="Times New Roman" w:hAnsi="Times New Roman" w:cs="Times New Roman"/>
                <w:spacing w:val="-3"/>
                <w:lang w:val="ru-RU"/>
              </w:rPr>
              <w:t xml:space="preserve"> </w:t>
            </w:r>
            <w:r w:rsidRPr="00574288">
              <w:rPr>
                <w:rFonts w:ascii="Times New Roman" w:eastAsia="Times New Roman" w:hAnsi="Times New Roman" w:cs="Times New Roman"/>
                <w:lang w:val="ru-RU"/>
              </w:rPr>
              <w:t>системе</w:t>
            </w:r>
            <w:r w:rsidRPr="00574288">
              <w:rPr>
                <w:rFonts w:ascii="Times New Roman" w:eastAsia="Times New Roman" w:hAnsi="Times New Roman" w:cs="Times New Roman"/>
                <w:spacing w:val="-3"/>
                <w:lang w:val="ru-RU"/>
              </w:rPr>
              <w:t xml:space="preserve"> </w:t>
            </w:r>
            <w:r w:rsidRPr="00574288">
              <w:rPr>
                <w:rFonts w:ascii="Times New Roman" w:eastAsia="Times New Roman" w:hAnsi="Times New Roman" w:cs="Times New Roman"/>
                <w:lang w:val="ru-RU"/>
              </w:rPr>
              <w:t>расселения</w:t>
            </w:r>
          </w:p>
        </w:tc>
      </w:tr>
      <w:tr w:rsidR="003F01BB" w:rsidRPr="00574288" w:rsidTr="003F01BB">
        <w:trPr>
          <w:trHeight w:val="348"/>
        </w:trPr>
        <w:tc>
          <w:tcPr>
            <w:tcW w:w="567" w:type="dxa"/>
            <w:vMerge/>
          </w:tcPr>
          <w:p w:rsidR="003F01BB" w:rsidRPr="00574288" w:rsidRDefault="003F01BB" w:rsidP="003F01BB">
            <w:pPr>
              <w:spacing w:before="206"/>
              <w:jc w:val="center"/>
              <w:rPr>
                <w:rFonts w:ascii="Times New Roman" w:eastAsia="Times New Roman" w:hAnsi="Times New Roman" w:cs="Times New Roman"/>
                <w:lang w:val="ru-RU"/>
              </w:rPr>
            </w:pPr>
          </w:p>
        </w:tc>
        <w:tc>
          <w:tcPr>
            <w:tcW w:w="2694" w:type="dxa"/>
            <w:vMerge/>
          </w:tcPr>
          <w:p w:rsidR="003F01BB" w:rsidRPr="00574288" w:rsidRDefault="003F01BB" w:rsidP="003F01BB">
            <w:pPr>
              <w:jc w:val="center"/>
              <w:rPr>
                <w:rFonts w:ascii="Times New Roman" w:eastAsia="Times New Roman" w:hAnsi="Times New Roman" w:cs="Times New Roman"/>
                <w:spacing w:val="-1"/>
                <w:lang w:val="ru-RU"/>
              </w:rPr>
            </w:pPr>
          </w:p>
        </w:tc>
        <w:tc>
          <w:tcPr>
            <w:tcW w:w="2693" w:type="dxa"/>
            <w:tcBorders>
              <w:top w:val="single" w:sz="4" w:space="0" w:color="auto"/>
              <w:right w:val="single" w:sz="6" w:space="0" w:color="000000"/>
            </w:tcBorders>
          </w:tcPr>
          <w:p w:rsidR="003F01BB" w:rsidRPr="00574288" w:rsidRDefault="003F01BB" w:rsidP="003F01BB">
            <w:pPr>
              <w:ind w:left="111" w:firstLine="82"/>
              <w:jc w:val="center"/>
              <w:rPr>
                <w:rFonts w:ascii="Times New Roman" w:eastAsia="Times New Roman" w:hAnsi="Times New Roman" w:cs="Times New Roman"/>
                <w:lang w:val="ru-RU"/>
              </w:rPr>
            </w:pPr>
            <w:proofErr w:type="spellStart"/>
            <w:r w:rsidRPr="00574288">
              <w:rPr>
                <w:rFonts w:ascii="Times New Roman" w:eastAsia="Times New Roman" w:hAnsi="Times New Roman" w:cs="Times New Roman"/>
                <w:lang w:val="ru-RU"/>
              </w:rPr>
              <w:t>Ирклиевское</w:t>
            </w:r>
            <w:proofErr w:type="spellEnd"/>
            <w:r w:rsidRPr="00574288">
              <w:rPr>
                <w:rFonts w:ascii="Times New Roman" w:eastAsia="Times New Roman" w:hAnsi="Times New Roman" w:cs="Times New Roman"/>
                <w:lang w:val="ru-RU"/>
              </w:rPr>
              <w:t xml:space="preserve"> сельское поселение </w:t>
            </w:r>
            <w:proofErr w:type="spellStart"/>
            <w:r w:rsidRPr="00574288">
              <w:rPr>
                <w:rFonts w:ascii="Times New Roman" w:eastAsia="Times New Roman" w:hAnsi="Times New Roman" w:cs="Times New Roman"/>
                <w:lang w:val="ru-RU"/>
              </w:rPr>
              <w:t>Выселковского</w:t>
            </w:r>
            <w:proofErr w:type="spellEnd"/>
            <w:r w:rsidRPr="00574288">
              <w:rPr>
                <w:rFonts w:ascii="Times New Roman" w:eastAsia="Times New Roman" w:hAnsi="Times New Roman" w:cs="Times New Roman"/>
                <w:lang w:val="ru-RU"/>
              </w:rPr>
              <w:t xml:space="preserve"> района</w:t>
            </w:r>
          </w:p>
        </w:tc>
        <w:tc>
          <w:tcPr>
            <w:tcW w:w="3685" w:type="dxa"/>
            <w:vMerge/>
            <w:tcBorders>
              <w:left w:val="single" w:sz="6" w:space="0" w:color="000000"/>
            </w:tcBorders>
          </w:tcPr>
          <w:p w:rsidR="003F01BB" w:rsidRPr="00574288" w:rsidRDefault="003F01BB" w:rsidP="003F01BB">
            <w:pPr>
              <w:spacing w:before="206"/>
              <w:jc w:val="center"/>
              <w:rPr>
                <w:rFonts w:ascii="Times New Roman" w:eastAsia="Times New Roman" w:hAnsi="Times New Roman" w:cs="Times New Roman"/>
                <w:lang w:val="ru-RU"/>
              </w:rPr>
            </w:pPr>
          </w:p>
        </w:tc>
      </w:tr>
      <w:tr w:rsidR="003F01BB" w:rsidRPr="00574288" w:rsidTr="003F01BB">
        <w:trPr>
          <w:trHeight w:val="275"/>
        </w:trPr>
        <w:tc>
          <w:tcPr>
            <w:tcW w:w="567" w:type="dxa"/>
          </w:tcPr>
          <w:p w:rsidR="003F01BB" w:rsidRPr="00574288" w:rsidRDefault="003F01BB" w:rsidP="003F01BB">
            <w:pPr>
              <w:jc w:val="center"/>
              <w:rPr>
                <w:rFonts w:ascii="Times New Roman" w:eastAsia="Times New Roman" w:hAnsi="Times New Roman" w:cs="Times New Roman"/>
              </w:rPr>
            </w:pPr>
            <w:r w:rsidRPr="00574288">
              <w:rPr>
                <w:rFonts w:ascii="Times New Roman" w:eastAsia="Times New Roman" w:hAnsi="Times New Roman" w:cs="Times New Roman"/>
              </w:rPr>
              <w:t>1</w:t>
            </w:r>
          </w:p>
        </w:tc>
        <w:tc>
          <w:tcPr>
            <w:tcW w:w="2694" w:type="dxa"/>
          </w:tcPr>
          <w:p w:rsidR="003F01BB" w:rsidRPr="00574288" w:rsidRDefault="003F01BB" w:rsidP="003F01BB">
            <w:pPr>
              <w:ind w:left="142"/>
              <w:rPr>
                <w:rFonts w:ascii="Times New Roman" w:eastAsia="Calibri" w:hAnsi="Times New Roman" w:cs="Times New Roman"/>
                <w:color w:val="000000"/>
              </w:rPr>
            </w:pPr>
            <w:proofErr w:type="spellStart"/>
            <w:r w:rsidRPr="00574288">
              <w:rPr>
                <w:rFonts w:ascii="Times New Roman" w:eastAsia="Calibri" w:hAnsi="Times New Roman" w:cs="Times New Roman"/>
                <w:color w:val="000000"/>
              </w:rPr>
              <w:t>Ирклиевская</w:t>
            </w:r>
            <w:proofErr w:type="spellEnd"/>
          </w:p>
        </w:tc>
        <w:tc>
          <w:tcPr>
            <w:tcW w:w="2693" w:type="dxa"/>
          </w:tcPr>
          <w:p w:rsidR="003F01BB" w:rsidRPr="00574288" w:rsidRDefault="003F01BB" w:rsidP="003F01BB">
            <w:pPr>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станица</w:t>
            </w:r>
          </w:p>
        </w:tc>
        <w:tc>
          <w:tcPr>
            <w:tcW w:w="3685" w:type="dxa"/>
          </w:tcPr>
          <w:p w:rsidR="003F01BB" w:rsidRPr="00574288" w:rsidRDefault="003F01BB" w:rsidP="003F01BB">
            <w:pPr>
              <w:ind w:left="142" w:hanging="1"/>
              <w:rPr>
                <w:rFonts w:ascii="Times New Roman" w:eastAsia="Times New Roman" w:hAnsi="Times New Roman" w:cs="Times New Roman"/>
                <w:lang w:val="ru-RU"/>
              </w:rPr>
            </w:pPr>
            <w:r w:rsidRPr="00574288">
              <w:rPr>
                <w:rFonts w:ascii="Times New Roman" w:eastAsia="Times New Roman" w:hAnsi="Times New Roman" w:cs="Times New Roman"/>
                <w:lang w:val="ru-RU"/>
              </w:rPr>
              <w:t>административный центр поселения</w:t>
            </w:r>
          </w:p>
        </w:tc>
      </w:tr>
      <w:tr w:rsidR="003F01BB" w:rsidRPr="00574288" w:rsidTr="003F01BB">
        <w:trPr>
          <w:trHeight w:val="275"/>
        </w:trPr>
        <w:tc>
          <w:tcPr>
            <w:tcW w:w="567" w:type="dxa"/>
          </w:tcPr>
          <w:p w:rsidR="003F01BB" w:rsidRPr="00574288" w:rsidRDefault="003F01BB" w:rsidP="003F01BB">
            <w:pPr>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2</w:t>
            </w:r>
          </w:p>
        </w:tc>
        <w:tc>
          <w:tcPr>
            <w:tcW w:w="2694" w:type="dxa"/>
          </w:tcPr>
          <w:p w:rsidR="003F01BB" w:rsidRPr="00574288" w:rsidRDefault="003F01BB" w:rsidP="003F01BB">
            <w:pPr>
              <w:ind w:left="142"/>
              <w:rPr>
                <w:rFonts w:ascii="Times New Roman" w:eastAsia="Calibri" w:hAnsi="Times New Roman" w:cs="Times New Roman"/>
                <w:color w:val="000000"/>
              </w:rPr>
            </w:pPr>
            <w:proofErr w:type="spellStart"/>
            <w:r w:rsidRPr="00574288">
              <w:rPr>
                <w:rFonts w:ascii="Times New Roman" w:eastAsia="Calibri" w:hAnsi="Times New Roman" w:cs="Times New Roman"/>
                <w:color w:val="000000"/>
              </w:rPr>
              <w:t>Балковская</w:t>
            </w:r>
            <w:proofErr w:type="spellEnd"/>
          </w:p>
        </w:tc>
        <w:tc>
          <w:tcPr>
            <w:tcW w:w="2693" w:type="dxa"/>
          </w:tcPr>
          <w:p w:rsidR="003F01BB" w:rsidRPr="00574288" w:rsidRDefault="003F01BB" w:rsidP="003F01BB">
            <w:pPr>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станица</w:t>
            </w:r>
          </w:p>
        </w:tc>
        <w:tc>
          <w:tcPr>
            <w:tcW w:w="3685" w:type="dxa"/>
          </w:tcPr>
          <w:p w:rsidR="003F01BB" w:rsidRPr="00574288" w:rsidRDefault="003F01BB" w:rsidP="003F01BB">
            <w:pPr>
              <w:ind w:left="142" w:hanging="1"/>
              <w:rPr>
                <w:rFonts w:ascii="Times New Roman" w:eastAsia="Times New Roman" w:hAnsi="Times New Roman" w:cs="Times New Roman"/>
                <w:lang w:val="ru-RU"/>
              </w:rPr>
            </w:pPr>
            <w:r w:rsidRPr="00574288">
              <w:rPr>
                <w:rFonts w:ascii="Times New Roman" w:eastAsia="Times New Roman" w:hAnsi="Times New Roman" w:cs="Times New Roman"/>
                <w:lang w:val="ru-RU"/>
              </w:rPr>
              <w:t>сельский населенный пункт</w:t>
            </w:r>
          </w:p>
        </w:tc>
      </w:tr>
      <w:tr w:rsidR="003F01BB" w:rsidRPr="00574288" w:rsidTr="003F01BB">
        <w:trPr>
          <w:trHeight w:val="275"/>
        </w:trPr>
        <w:tc>
          <w:tcPr>
            <w:tcW w:w="567" w:type="dxa"/>
          </w:tcPr>
          <w:p w:rsidR="003F01BB" w:rsidRPr="00574288" w:rsidRDefault="003F01BB" w:rsidP="003F01BB">
            <w:pPr>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3</w:t>
            </w:r>
          </w:p>
        </w:tc>
        <w:tc>
          <w:tcPr>
            <w:tcW w:w="2694" w:type="dxa"/>
          </w:tcPr>
          <w:p w:rsidR="003F01BB" w:rsidRPr="00574288" w:rsidRDefault="003F01BB" w:rsidP="003F01BB">
            <w:pPr>
              <w:ind w:left="142"/>
              <w:rPr>
                <w:rFonts w:ascii="Times New Roman" w:eastAsia="Calibri" w:hAnsi="Times New Roman" w:cs="Times New Roman"/>
                <w:color w:val="000000"/>
              </w:rPr>
            </w:pPr>
            <w:proofErr w:type="spellStart"/>
            <w:r w:rsidRPr="00574288">
              <w:rPr>
                <w:rFonts w:ascii="Times New Roman" w:eastAsia="Calibri" w:hAnsi="Times New Roman" w:cs="Times New Roman"/>
                <w:color w:val="000000"/>
              </w:rPr>
              <w:t>Память</w:t>
            </w:r>
            <w:proofErr w:type="spellEnd"/>
            <w:r w:rsidRPr="00574288">
              <w:rPr>
                <w:rFonts w:ascii="Times New Roman" w:eastAsia="Calibri" w:hAnsi="Times New Roman" w:cs="Times New Roman"/>
                <w:color w:val="000000"/>
              </w:rPr>
              <w:t xml:space="preserve"> </w:t>
            </w:r>
            <w:proofErr w:type="spellStart"/>
            <w:r w:rsidRPr="00574288">
              <w:rPr>
                <w:rFonts w:ascii="Times New Roman" w:eastAsia="Calibri" w:hAnsi="Times New Roman" w:cs="Times New Roman"/>
                <w:color w:val="000000"/>
              </w:rPr>
              <w:t>Ленина</w:t>
            </w:r>
            <w:proofErr w:type="spellEnd"/>
          </w:p>
        </w:tc>
        <w:tc>
          <w:tcPr>
            <w:tcW w:w="2693" w:type="dxa"/>
          </w:tcPr>
          <w:p w:rsidR="003F01BB" w:rsidRPr="00574288" w:rsidRDefault="003F01BB" w:rsidP="003F01BB">
            <w:pPr>
              <w:jc w:val="center"/>
              <w:rPr>
                <w:rFonts w:ascii="Times New Roman" w:eastAsia="Times New Roman" w:hAnsi="Times New Roman" w:cs="Times New Roman"/>
                <w:lang w:val="ru-RU"/>
              </w:rPr>
            </w:pPr>
            <w:r w:rsidRPr="00574288">
              <w:rPr>
                <w:rFonts w:ascii="Times New Roman" w:eastAsia="Times New Roman" w:hAnsi="Times New Roman" w:cs="Times New Roman"/>
                <w:lang w:val="ru-RU"/>
              </w:rPr>
              <w:t>хутор</w:t>
            </w:r>
          </w:p>
        </w:tc>
        <w:tc>
          <w:tcPr>
            <w:tcW w:w="3685" w:type="dxa"/>
          </w:tcPr>
          <w:p w:rsidR="003F01BB" w:rsidRPr="00574288" w:rsidRDefault="003F01BB" w:rsidP="003F01BB">
            <w:pPr>
              <w:ind w:left="142" w:hanging="1"/>
              <w:rPr>
                <w:rFonts w:ascii="Times New Roman" w:eastAsia="Times New Roman" w:hAnsi="Times New Roman" w:cs="Times New Roman"/>
              </w:rPr>
            </w:pPr>
            <w:r w:rsidRPr="00574288">
              <w:rPr>
                <w:rFonts w:ascii="Times New Roman" w:eastAsia="Times New Roman" w:hAnsi="Times New Roman" w:cs="Times New Roman"/>
                <w:lang w:val="ru-RU"/>
              </w:rPr>
              <w:t>сельский населенный пункт</w:t>
            </w:r>
          </w:p>
        </w:tc>
      </w:tr>
    </w:tbl>
    <w:p w:rsidR="000208C3" w:rsidRPr="00574288"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574288">
        <w:rPr>
          <w:rFonts w:ascii="Times New Roman" w:eastAsia="Times New Roman" w:hAnsi="Times New Roman" w:cs="Times New Roman"/>
          <w:bCs/>
          <w:lang w:eastAsia="ru-RU"/>
        </w:rPr>
        <w:t xml:space="preserve">                                                                     </w:t>
      </w:r>
      <w:r w:rsidRPr="00574288">
        <w:rPr>
          <w:rFonts w:ascii="Times New Roman" w:eastAsia="Times New Roman" w:hAnsi="Times New Roman" w:cs="Times New Roman"/>
          <w:bCs/>
          <w:sz w:val="24"/>
          <w:szCs w:val="24"/>
          <w:lang w:eastAsia="ru-RU"/>
        </w:rPr>
        <w:t>Таблица 1.1.</w:t>
      </w:r>
    </w:p>
    <w:tbl>
      <w:tblPr>
        <w:tblW w:w="9687" w:type="dxa"/>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627"/>
        <w:gridCol w:w="1417"/>
        <w:gridCol w:w="2680"/>
      </w:tblGrid>
      <w:tr w:rsidR="00292F59" w:rsidRPr="00574288" w:rsidTr="00C335A0">
        <w:trPr>
          <w:trHeight w:val="20"/>
          <w:jc w:val="center"/>
        </w:trPr>
        <w:tc>
          <w:tcPr>
            <w:tcW w:w="3963" w:type="dxa"/>
            <w:shd w:val="clear" w:color="auto" w:fill="auto"/>
            <w:vAlign w:val="center"/>
          </w:tcPr>
          <w:bookmarkEnd w:id="2"/>
          <w:p w:rsidR="00292F59" w:rsidRPr="00574288" w:rsidRDefault="00292F59" w:rsidP="00292F59">
            <w:pPr>
              <w:spacing w:after="0" w:line="240" w:lineRule="auto"/>
              <w:jc w:val="center"/>
              <w:rPr>
                <w:rFonts w:ascii="Times New Roman" w:eastAsia="Times New Roman" w:hAnsi="Times New Roman" w:cs="Times New Roman"/>
                <w:lang w:eastAsia="ru-RU"/>
              </w:rPr>
            </w:pPr>
            <w:r w:rsidRPr="00574288">
              <w:rPr>
                <w:rFonts w:ascii="Times New Roman" w:eastAsia="Times New Roman" w:hAnsi="Times New Roman" w:cs="Times New Roman"/>
                <w:lang w:eastAsia="ru-RU"/>
              </w:rPr>
              <w:t>Наименование поселения</w:t>
            </w:r>
          </w:p>
        </w:tc>
        <w:tc>
          <w:tcPr>
            <w:tcW w:w="1627" w:type="dxa"/>
            <w:shd w:val="clear" w:color="auto" w:fill="auto"/>
            <w:vAlign w:val="center"/>
          </w:tcPr>
          <w:p w:rsidR="00292F59" w:rsidRPr="00574288" w:rsidRDefault="00292F59" w:rsidP="00292F59">
            <w:pPr>
              <w:spacing w:after="0" w:line="240" w:lineRule="auto"/>
              <w:jc w:val="center"/>
              <w:rPr>
                <w:rFonts w:ascii="Times New Roman" w:eastAsia="Times New Roman" w:hAnsi="Times New Roman" w:cs="Times New Roman"/>
                <w:lang w:eastAsia="ru-RU"/>
              </w:rPr>
            </w:pPr>
            <w:r w:rsidRPr="00574288">
              <w:rPr>
                <w:rFonts w:ascii="Times New Roman" w:eastAsia="Times New Roman" w:hAnsi="Times New Roman" w:cs="Times New Roman"/>
                <w:lang w:eastAsia="ru-RU"/>
              </w:rPr>
              <w:t>Численность населения, чел.</w:t>
            </w:r>
          </w:p>
        </w:tc>
        <w:tc>
          <w:tcPr>
            <w:tcW w:w="1417" w:type="dxa"/>
            <w:shd w:val="clear" w:color="auto" w:fill="auto"/>
            <w:vAlign w:val="center"/>
          </w:tcPr>
          <w:p w:rsidR="00292F59" w:rsidRPr="00574288" w:rsidRDefault="00292F59" w:rsidP="00292F59">
            <w:pPr>
              <w:spacing w:after="0" w:line="240" w:lineRule="auto"/>
              <w:jc w:val="center"/>
              <w:rPr>
                <w:rFonts w:ascii="Times New Roman" w:eastAsia="Times New Roman" w:hAnsi="Times New Roman" w:cs="Times New Roman"/>
                <w:lang w:eastAsia="ru-RU"/>
              </w:rPr>
            </w:pPr>
            <w:r w:rsidRPr="00574288">
              <w:rPr>
                <w:rFonts w:ascii="Times New Roman" w:eastAsia="Times New Roman" w:hAnsi="Times New Roman" w:cs="Times New Roman"/>
                <w:lang w:eastAsia="ru-RU"/>
              </w:rPr>
              <w:t xml:space="preserve">Площадь поселения, </w:t>
            </w:r>
            <w:proofErr w:type="gramStart"/>
            <w:r w:rsidRPr="00574288">
              <w:rPr>
                <w:rFonts w:ascii="Times New Roman" w:eastAsia="Times New Roman" w:hAnsi="Times New Roman" w:cs="Times New Roman"/>
                <w:lang w:eastAsia="ru-RU"/>
              </w:rPr>
              <w:t>га</w:t>
            </w:r>
            <w:proofErr w:type="gramEnd"/>
          </w:p>
        </w:tc>
        <w:tc>
          <w:tcPr>
            <w:tcW w:w="2680" w:type="dxa"/>
            <w:shd w:val="clear" w:color="auto" w:fill="auto"/>
            <w:vAlign w:val="center"/>
          </w:tcPr>
          <w:p w:rsidR="00292F59" w:rsidRPr="00574288" w:rsidRDefault="00292F59" w:rsidP="00292F59">
            <w:pPr>
              <w:spacing w:after="0" w:line="240" w:lineRule="auto"/>
              <w:jc w:val="center"/>
              <w:rPr>
                <w:rFonts w:ascii="Times New Roman" w:eastAsia="Times New Roman" w:hAnsi="Times New Roman" w:cs="Times New Roman"/>
                <w:lang w:eastAsia="ru-RU"/>
              </w:rPr>
            </w:pPr>
            <w:r w:rsidRPr="00574288">
              <w:rPr>
                <w:rFonts w:ascii="Times New Roman" w:eastAsia="Times New Roman" w:hAnsi="Times New Roman" w:cs="Times New Roman"/>
                <w:lang w:eastAsia="ru-RU"/>
              </w:rPr>
              <w:t>Плотность населения, чел./</w:t>
            </w:r>
            <w:proofErr w:type="gramStart"/>
            <w:r w:rsidRPr="00574288">
              <w:rPr>
                <w:rFonts w:ascii="Times New Roman" w:eastAsia="Times New Roman" w:hAnsi="Times New Roman" w:cs="Times New Roman"/>
                <w:lang w:eastAsia="ru-RU"/>
              </w:rPr>
              <w:t>га</w:t>
            </w:r>
            <w:proofErr w:type="gramEnd"/>
          </w:p>
        </w:tc>
      </w:tr>
      <w:tr w:rsidR="00292F59" w:rsidRPr="00574288" w:rsidTr="00C335A0">
        <w:trPr>
          <w:trHeight w:val="20"/>
          <w:jc w:val="center"/>
        </w:trPr>
        <w:tc>
          <w:tcPr>
            <w:tcW w:w="3963" w:type="dxa"/>
            <w:shd w:val="clear" w:color="auto" w:fill="auto"/>
            <w:vAlign w:val="center"/>
          </w:tcPr>
          <w:p w:rsidR="00292F59" w:rsidRPr="00574288" w:rsidRDefault="00574288" w:rsidP="00292F59">
            <w:pPr>
              <w:spacing w:after="0" w:line="240" w:lineRule="auto"/>
              <w:jc w:val="both"/>
              <w:rPr>
                <w:rFonts w:ascii="Times New Roman" w:eastAsia="Times New Roman" w:hAnsi="Times New Roman" w:cs="Times New Roman"/>
                <w:lang w:eastAsia="ru-RU"/>
              </w:rPr>
            </w:pPr>
            <w:proofErr w:type="spellStart"/>
            <w:r w:rsidRPr="00574288">
              <w:rPr>
                <w:rFonts w:ascii="Times New Roman" w:eastAsia="Calibri" w:hAnsi="Times New Roman" w:cs="Times New Roman"/>
                <w:color w:val="000000"/>
              </w:rPr>
              <w:t>Ирклиевс</w:t>
            </w:r>
            <w:r w:rsidR="00292F59" w:rsidRPr="00574288">
              <w:rPr>
                <w:rFonts w:ascii="Times New Roman" w:eastAsia="Times New Roman" w:hAnsi="Times New Roman" w:cs="Times New Roman"/>
              </w:rPr>
              <w:t>кое</w:t>
            </w:r>
            <w:proofErr w:type="spellEnd"/>
            <w:r w:rsidR="00292F59" w:rsidRPr="00574288">
              <w:rPr>
                <w:rFonts w:ascii="Times New Roman" w:eastAsia="Times New Roman" w:hAnsi="Times New Roman" w:cs="Times New Roman"/>
              </w:rPr>
              <w:t xml:space="preserve"> сельское поселение </w:t>
            </w:r>
          </w:p>
        </w:tc>
        <w:tc>
          <w:tcPr>
            <w:tcW w:w="1627" w:type="dxa"/>
            <w:shd w:val="clear" w:color="auto" w:fill="auto"/>
            <w:noWrap/>
            <w:vAlign w:val="center"/>
          </w:tcPr>
          <w:p w:rsidR="00292F59" w:rsidRPr="00574288" w:rsidRDefault="00574288" w:rsidP="00292F59">
            <w:pPr>
              <w:spacing w:after="0" w:line="240" w:lineRule="auto"/>
              <w:jc w:val="center"/>
              <w:rPr>
                <w:rFonts w:ascii="Times New Roman" w:eastAsia="Times New Roman" w:hAnsi="Times New Roman" w:cs="Times New Roman"/>
                <w:bCs/>
                <w:highlight w:val="yellow"/>
                <w:lang w:eastAsia="ru-RU"/>
              </w:rPr>
            </w:pPr>
            <w:r w:rsidRPr="00574288">
              <w:rPr>
                <w:rFonts w:ascii="Times New Roman" w:eastAsia="Times New Roman" w:hAnsi="Times New Roman" w:cs="Times New Roman"/>
                <w:bCs/>
                <w:lang w:eastAsia="ru-RU"/>
              </w:rPr>
              <w:t>3629</w:t>
            </w:r>
          </w:p>
        </w:tc>
        <w:tc>
          <w:tcPr>
            <w:tcW w:w="1417" w:type="dxa"/>
            <w:shd w:val="clear" w:color="auto" w:fill="auto"/>
            <w:noWrap/>
            <w:vAlign w:val="center"/>
          </w:tcPr>
          <w:p w:rsidR="00292F59" w:rsidRPr="00574288" w:rsidRDefault="00574288" w:rsidP="00D71A7F">
            <w:pPr>
              <w:spacing w:after="0" w:line="240" w:lineRule="auto"/>
              <w:jc w:val="center"/>
              <w:rPr>
                <w:rFonts w:ascii="Times New Roman" w:eastAsia="Times New Roman" w:hAnsi="Times New Roman" w:cs="Times New Roman"/>
                <w:lang w:eastAsia="ru-RU"/>
              </w:rPr>
            </w:pPr>
            <w:r w:rsidRPr="00574288">
              <w:rPr>
                <w:rFonts w:ascii="Times New Roman" w:eastAsia="Times New Roman" w:hAnsi="Times New Roman" w:cs="Times New Roman"/>
                <w:lang w:eastAsia="ru-RU"/>
              </w:rPr>
              <w:t>2332</w:t>
            </w:r>
            <w:r w:rsidR="00D71A7F">
              <w:rPr>
                <w:rFonts w:ascii="Times New Roman" w:eastAsia="Times New Roman" w:hAnsi="Times New Roman" w:cs="Times New Roman"/>
                <w:lang w:eastAsia="ru-RU"/>
              </w:rPr>
              <w:t>7</w:t>
            </w:r>
          </w:p>
        </w:tc>
        <w:tc>
          <w:tcPr>
            <w:tcW w:w="2680" w:type="dxa"/>
            <w:shd w:val="clear" w:color="auto" w:fill="auto"/>
            <w:noWrap/>
            <w:vAlign w:val="center"/>
          </w:tcPr>
          <w:p w:rsidR="00292F59" w:rsidRPr="00574288" w:rsidRDefault="00D71A7F" w:rsidP="00292F5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bookmarkStart w:id="3" w:name="_GoBack"/>
            <w:bookmarkEnd w:id="3"/>
            <w:r>
              <w:rPr>
                <w:rFonts w:ascii="Times New Roman" w:eastAsia="Times New Roman" w:hAnsi="Times New Roman" w:cs="Times New Roman"/>
                <w:lang w:eastAsia="ru-RU"/>
              </w:rPr>
              <w:t>15</w:t>
            </w:r>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местного значения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C335A0">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C335A0">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C335A0">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w:t>
            </w:r>
            <w:r w:rsidRPr="00E83960">
              <w:rPr>
                <w:rFonts w:ascii="Times New Roman" w:eastAsia="Times New Roman" w:hAnsi="Times New Roman" w:cs="Times New Roman"/>
                <w:lang w:eastAsia="ru-RU"/>
              </w:rPr>
              <w:lastRenderedPageBreak/>
              <w:t xml:space="preserve">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w:t>
            </w:r>
            <w:r w:rsidRPr="00395B38">
              <w:rPr>
                <w:rFonts w:ascii="Times New Roman" w:eastAsia="Times New Roman" w:hAnsi="Times New Roman" w:cs="Times New Roman"/>
                <w:lang w:eastAsia="ru-RU"/>
              </w:rPr>
              <w:lastRenderedPageBreak/>
              <w:t>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w:t>
            </w:r>
            <w:r w:rsidRPr="00395B38">
              <w:rPr>
                <w:rFonts w:ascii="Times New Roman" w:eastAsia="Times New Roman" w:hAnsi="Times New Roman" w:cs="Times New Roman"/>
                <w:lang w:eastAsia="ru-RU"/>
              </w:rPr>
              <w:lastRenderedPageBreak/>
              <w:t>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w:t>
            </w:r>
            <w:r w:rsidRPr="00395B38">
              <w:rPr>
                <w:rFonts w:ascii="Times New Roman" w:eastAsia="Times New Roman" w:hAnsi="Times New Roman" w:cs="Times New Roman"/>
                <w:lang w:eastAsia="ru-RU"/>
              </w:rPr>
              <w:lastRenderedPageBreak/>
              <w:t xml:space="preserve">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75A6FDDD" wp14:editId="226606F7">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3F25F8FD" wp14:editId="2ECDD1C9">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8F5D7A0" wp14:editId="7A5DD32A">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C7ADB61" wp14:editId="103F1273">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5EB38324" wp14:editId="27BAF337">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4A11577A" wp14:editId="1655BCA3">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C335A0">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C335A0">
        <w:tc>
          <w:tcPr>
            <w:tcW w:w="2702" w:type="dxa"/>
            <w:tcBorders>
              <w:top w:val="single" w:sz="6" w:space="0" w:color="auto"/>
              <w:left w:val="single" w:sz="6" w:space="0" w:color="auto"/>
              <w:bottom w:val="nil"/>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C335A0">
        <w:tc>
          <w:tcPr>
            <w:tcW w:w="2702" w:type="dxa"/>
            <w:tcBorders>
              <w:top w:val="nil"/>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C335A0">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C335A0">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C335A0">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A02A69" w:rsidRDefault="00F52C41" w:rsidP="00A02A69">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w:t>
      </w:r>
      <w:r w:rsidR="00A02A69">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A02A69" w:rsidRDefault="00A02A69" w:rsidP="00A02A69">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A02A69" w:rsidRPr="00A02A69" w:rsidTr="003F01BB">
        <w:tc>
          <w:tcPr>
            <w:tcW w:w="1594" w:type="dxa"/>
            <w:tcBorders>
              <w:top w:val="single" w:sz="6" w:space="0" w:color="auto"/>
              <w:left w:val="single" w:sz="6" w:space="0" w:color="auto"/>
              <w:bottom w:val="nil"/>
              <w:right w:val="single" w:sz="6" w:space="0" w:color="auto"/>
            </w:tcBorders>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минимально допустимого уровня обеспеченности</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A02A69" w:rsidRPr="00A02A69" w:rsidTr="003F01BB">
        <w:tc>
          <w:tcPr>
            <w:tcW w:w="1594" w:type="dxa"/>
            <w:tcBorders>
              <w:top w:val="nil"/>
              <w:left w:val="single" w:sz="6" w:space="0" w:color="auto"/>
              <w:bottom w:val="single" w:sz="6" w:space="0" w:color="auto"/>
              <w:right w:val="single" w:sz="6" w:space="0" w:color="auto"/>
            </w:tcBorders>
          </w:tcPr>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 xml:space="preserve">Наименование расчетного показателя, </w:t>
            </w:r>
            <w:proofErr w:type="spellStart"/>
            <w:r w:rsidRPr="00A02A69">
              <w:rPr>
                <w:rFonts w:ascii="Times New Roman" w:eastAsia="Times New Roman" w:hAnsi="Times New Roman" w:cs="Times New Roman"/>
                <w:bCs/>
                <w:lang w:eastAsia="ru-RU"/>
              </w:rPr>
              <w:lastRenderedPageBreak/>
              <w:t>ед</w:t>
            </w:r>
            <w:proofErr w:type="gramStart"/>
            <w:r w:rsidRPr="00A02A69">
              <w:rPr>
                <w:rFonts w:ascii="Times New Roman" w:eastAsia="Times New Roman" w:hAnsi="Times New Roman" w:cs="Times New Roman"/>
                <w:bCs/>
                <w:lang w:eastAsia="ru-RU"/>
              </w:rPr>
              <w:t>.и</w:t>
            </w:r>
            <w:proofErr w:type="gramEnd"/>
            <w:r w:rsidRPr="00A02A69">
              <w:rPr>
                <w:rFonts w:ascii="Times New Roman" w:eastAsia="Times New Roman" w:hAnsi="Times New Roman" w:cs="Times New Roman"/>
                <w:bCs/>
                <w:lang w:eastAsia="ru-RU"/>
              </w:rPr>
              <w:t>зм</w:t>
            </w:r>
            <w:proofErr w:type="spellEnd"/>
            <w:r w:rsidRPr="00A02A69">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расчетного показателя,</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r>
      <w:tr w:rsidR="00A02A69" w:rsidRPr="00A02A69" w:rsidTr="003F01BB">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контейнеров на 1000 чел. общей</w:t>
            </w:r>
          </w:p>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Радиус</w:t>
            </w: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обслуживания, </w:t>
            </w:r>
            <w:proofErr w:type="gramStart"/>
            <w:r w:rsidRPr="00A02A69">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 **</w:t>
            </w:r>
          </w:p>
        </w:tc>
      </w:tr>
      <w:tr w:rsidR="00A02A69" w:rsidRPr="00A02A69" w:rsidTr="003F01BB">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F01BB">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Не нормируется</w:t>
            </w:r>
          </w:p>
        </w:tc>
      </w:tr>
      <w:tr w:rsidR="00A02A69" w:rsidRPr="00A02A69" w:rsidTr="003F01BB">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1600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F01BB">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A02A69">
              <w:rPr>
                <w:rFonts w:ascii="Times New Roman" w:eastAsia="Times New Roman" w:hAnsi="Times New Roman" w:cs="Times New Roman"/>
                <w:lang w:eastAsia="ru-RU"/>
              </w:rPr>
              <w:t>-т</w:t>
            </w:r>
            <w:proofErr w:type="gramEnd"/>
            <w:r w:rsidRPr="00A02A69">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F01BB">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800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F01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Емкость контейнеров 1,1 м</w:t>
            </w:r>
            <w:r w:rsidRPr="00A02A69">
              <w:rPr>
                <w:rFonts w:ascii="Times New Roman" w:eastAsia="Times New Roman" w:hAnsi="Times New Roman" w:cs="Times New Roman"/>
                <w:vertAlign w:val="superscript"/>
                <w:lang w:eastAsia="ru-RU"/>
              </w:rPr>
              <w:t>3</w:t>
            </w:r>
            <w:r w:rsidRPr="00A02A69">
              <w:rPr>
                <w:rFonts w:ascii="Times New Roman" w:eastAsia="Times New Roman" w:hAnsi="Times New Roman" w:cs="Times New Roman"/>
                <w:lang w:eastAsia="ru-RU"/>
              </w:rPr>
              <w:t>.</w:t>
            </w:r>
          </w:p>
          <w:p w:rsidR="00A02A69" w:rsidRPr="00A02A69" w:rsidRDefault="00A02A69" w:rsidP="005F067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r w:rsidR="005F0675">
              <w:rPr>
                <w:rFonts w:ascii="Times New Roman" w:eastAsia="Times New Roman" w:hAnsi="Times New Roman" w:cs="Times New Roman"/>
                <w:lang w:eastAsia="ru-RU"/>
              </w:rPr>
              <w:t xml:space="preserve"> </w:t>
            </w:r>
            <w:r w:rsidRPr="00A02A69">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5F06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C335A0">
        <w:trPr>
          <w:trHeight w:val="734"/>
        </w:trPr>
        <w:tc>
          <w:tcPr>
            <w:tcW w:w="0" w:type="auto"/>
            <w:vAlign w:val="center"/>
          </w:tcPr>
          <w:p w:rsidR="00A94475" w:rsidRPr="00BA41A0" w:rsidRDefault="00A94475" w:rsidP="00C335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C335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C335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C335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574288"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574288">
        <w:rPr>
          <w:rFonts w:ascii="Times New Roman" w:eastAsia="Times New Roman" w:hAnsi="Times New Roman" w:cs="Times New Roman"/>
          <w:b/>
          <w:sz w:val="24"/>
          <w:szCs w:val="24"/>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3F01BB">
        <w:rPr>
          <w:rFonts w:ascii="Times New Roman" w:eastAsia="Times New Roman" w:hAnsi="Times New Roman" w:cs="Times New Roman"/>
          <w:b/>
          <w:sz w:val="24"/>
          <w:szCs w:val="24"/>
          <w:lang w:eastAsia="ru-RU"/>
        </w:rPr>
        <w:t>Ирклиевского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3F01BB">
        <w:rPr>
          <w:rFonts w:ascii="Times New Roman" w:eastAsia="Times New Roman" w:hAnsi="Times New Roman" w:cs="Times New Roman"/>
          <w:b/>
          <w:sz w:val="24"/>
          <w:szCs w:val="24"/>
          <w:lang w:eastAsia="ru-RU"/>
        </w:rPr>
        <w:t>Ирклиевского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574288" w:rsidRPr="00574288" w:rsidRDefault="00722F72"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.1.1</w:t>
      </w:r>
      <w:r w:rsidR="00B75E5D" w:rsidRPr="005F0675">
        <w:rPr>
          <w:rFonts w:ascii="Times New Roman" w:eastAsia="Times New Roman" w:hAnsi="Times New Roman" w:cs="Times New Roman"/>
          <w:sz w:val="24"/>
          <w:szCs w:val="24"/>
          <w:bdr w:val="none" w:sz="0" w:space="0" w:color="auto" w:frame="1"/>
          <w:lang w:eastAsia="ru-RU"/>
        </w:rPr>
        <w:t xml:space="preserve">. </w:t>
      </w:r>
      <w:proofErr w:type="spellStart"/>
      <w:r w:rsidR="00574288" w:rsidRPr="00574288">
        <w:rPr>
          <w:rFonts w:ascii="Times New Roman" w:eastAsia="Times New Roman" w:hAnsi="Times New Roman" w:cs="Times New Roman"/>
          <w:color w:val="000000"/>
          <w:sz w:val="24"/>
          <w:szCs w:val="24"/>
          <w:lang w:eastAsia="ru-RU"/>
        </w:rPr>
        <w:t>Ирклиевское</w:t>
      </w:r>
      <w:proofErr w:type="spellEnd"/>
      <w:r w:rsidR="00574288" w:rsidRPr="00574288">
        <w:rPr>
          <w:rFonts w:ascii="Times New Roman" w:eastAsia="Times New Roman" w:hAnsi="Times New Roman" w:cs="Times New Roman"/>
          <w:color w:val="000000"/>
          <w:sz w:val="24"/>
          <w:szCs w:val="24"/>
          <w:lang w:eastAsia="ru-RU"/>
        </w:rPr>
        <w:t xml:space="preserve"> сельское поселение расположено в северо-западной части </w:t>
      </w:r>
      <w:proofErr w:type="spellStart"/>
      <w:r w:rsidR="00574288" w:rsidRPr="00574288">
        <w:rPr>
          <w:rFonts w:ascii="Times New Roman" w:eastAsia="Times New Roman" w:hAnsi="Times New Roman" w:cs="Times New Roman"/>
          <w:color w:val="000000"/>
          <w:sz w:val="24"/>
          <w:szCs w:val="24"/>
          <w:lang w:eastAsia="ru-RU"/>
        </w:rPr>
        <w:t>Выселковского</w:t>
      </w:r>
      <w:proofErr w:type="spellEnd"/>
      <w:r w:rsidR="00574288" w:rsidRPr="00574288">
        <w:rPr>
          <w:rFonts w:ascii="Times New Roman" w:eastAsia="Times New Roman" w:hAnsi="Times New Roman" w:cs="Times New Roman"/>
          <w:color w:val="000000"/>
          <w:sz w:val="24"/>
          <w:szCs w:val="24"/>
          <w:lang w:eastAsia="ru-RU"/>
        </w:rPr>
        <w:t xml:space="preserve"> района и граничит:</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574288">
        <w:rPr>
          <w:rFonts w:ascii="Times New Roman" w:eastAsia="Times New Roman" w:hAnsi="Times New Roman" w:cs="Times New Roman"/>
          <w:color w:val="000000"/>
          <w:sz w:val="24"/>
          <w:szCs w:val="24"/>
          <w:lang w:eastAsia="ru-RU"/>
        </w:rPr>
        <w:t>на севере – с Павловским районом;</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574288">
        <w:rPr>
          <w:rFonts w:ascii="Times New Roman" w:eastAsia="Times New Roman" w:hAnsi="Times New Roman" w:cs="Times New Roman"/>
          <w:color w:val="000000"/>
          <w:sz w:val="24"/>
          <w:szCs w:val="24"/>
          <w:lang w:eastAsia="ru-RU"/>
        </w:rPr>
        <w:t xml:space="preserve">на востоке – с </w:t>
      </w:r>
      <w:proofErr w:type="spellStart"/>
      <w:r w:rsidRPr="00574288">
        <w:rPr>
          <w:rFonts w:ascii="Times New Roman" w:eastAsia="Times New Roman" w:hAnsi="Times New Roman" w:cs="Times New Roman"/>
          <w:color w:val="000000"/>
          <w:sz w:val="24"/>
          <w:szCs w:val="24"/>
          <w:lang w:eastAsia="ru-RU"/>
        </w:rPr>
        <w:t>Газырским</w:t>
      </w:r>
      <w:proofErr w:type="spellEnd"/>
      <w:r w:rsidRPr="00574288">
        <w:rPr>
          <w:rFonts w:ascii="Times New Roman" w:eastAsia="Times New Roman" w:hAnsi="Times New Roman" w:cs="Times New Roman"/>
          <w:color w:val="000000"/>
          <w:sz w:val="24"/>
          <w:szCs w:val="24"/>
          <w:lang w:eastAsia="ru-RU"/>
        </w:rPr>
        <w:t xml:space="preserve"> сельским поселением </w:t>
      </w:r>
      <w:proofErr w:type="spellStart"/>
      <w:r w:rsidRPr="00574288">
        <w:rPr>
          <w:rFonts w:ascii="Times New Roman" w:eastAsia="Times New Roman" w:hAnsi="Times New Roman" w:cs="Times New Roman"/>
          <w:color w:val="000000"/>
          <w:sz w:val="24"/>
          <w:szCs w:val="24"/>
          <w:lang w:eastAsia="ru-RU"/>
        </w:rPr>
        <w:t>Выселковского</w:t>
      </w:r>
      <w:proofErr w:type="spellEnd"/>
      <w:r w:rsidRPr="00574288">
        <w:rPr>
          <w:rFonts w:ascii="Times New Roman" w:eastAsia="Times New Roman" w:hAnsi="Times New Roman" w:cs="Times New Roman"/>
          <w:color w:val="000000"/>
          <w:sz w:val="24"/>
          <w:szCs w:val="24"/>
          <w:lang w:eastAsia="ru-RU"/>
        </w:rPr>
        <w:t xml:space="preserve"> района;</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574288">
        <w:rPr>
          <w:rFonts w:ascii="Times New Roman" w:eastAsia="Times New Roman" w:hAnsi="Times New Roman" w:cs="Times New Roman"/>
          <w:color w:val="000000"/>
          <w:sz w:val="24"/>
          <w:szCs w:val="24"/>
          <w:lang w:eastAsia="ru-RU"/>
        </w:rPr>
        <w:t xml:space="preserve">на юго-востоке – с </w:t>
      </w:r>
      <w:proofErr w:type="spellStart"/>
      <w:r w:rsidRPr="00574288">
        <w:rPr>
          <w:rFonts w:ascii="Times New Roman" w:eastAsia="Times New Roman" w:hAnsi="Times New Roman" w:cs="Times New Roman"/>
          <w:color w:val="000000"/>
          <w:sz w:val="24"/>
          <w:szCs w:val="24"/>
          <w:lang w:eastAsia="ru-RU"/>
        </w:rPr>
        <w:t>Бейсугским</w:t>
      </w:r>
      <w:proofErr w:type="spellEnd"/>
      <w:r w:rsidRPr="00574288">
        <w:rPr>
          <w:rFonts w:ascii="Times New Roman" w:eastAsia="Times New Roman" w:hAnsi="Times New Roman" w:cs="Times New Roman"/>
          <w:color w:val="000000"/>
          <w:sz w:val="24"/>
          <w:szCs w:val="24"/>
          <w:lang w:eastAsia="ru-RU"/>
        </w:rPr>
        <w:t xml:space="preserve"> сельским поселением </w:t>
      </w:r>
      <w:proofErr w:type="spellStart"/>
      <w:r w:rsidRPr="00574288">
        <w:rPr>
          <w:rFonts w:ascii="Times New Roman" w:eastAsia="Times New Roman" w:hAnsi="Times New Roman" w:cs="Times New Roman"/>
          <w:color w:val="000000"/>
          <w:sz w:val="24"/>
          <w:szCs w:val="24"/>
          <w:lang w:eastAsia="ru-RU"/>
        </w:rPr>
        <w:t>Выселковского</w:t>
      </w:r>
      <w:proofErr w:type="spellEnd"/>
      <w:r w:rsidRPr="00574288">
        <w:rPr>
          <w:rFonts w:ascii="Times New Roman" w:eastAsia="Times New Roman" w:hAnsi="Times New Roman" w:cs="Times New Roman"/>
          <w:color w:val="000000"/>
          <w:sz w:val="24"/>
          <w:szCs w:val="24"/>
          <w:lang w:eastAsia="ru-RU"/>
        </w:rPr>
        <w:t xml:space="preserve"> района;</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574288">
        <w:rPr>
          <w:rFonts w:ascii="Times New Roman" w:eastAsia="Times New Roman" w:hAnsi="Times New Roman" w:cs="Times New Roman"/>
          <w:color w:val="000000"/>
          <w:sz w:val="24"/>
          <w:szCs w:val="24"/>
          <w:lang w:eastAsia="ru-RU"/>
        </w:rPr>
        <w:t xml:space="preserve">на юго-западе – с </w:t>
      </w:r>
      <w:proofErr w:type="spellStart"/>
      <w:r w:rsidRPr="00574288">
        <w:rPr>
          <w:rFonts w:ascii="Times New Roman" w:eastAsia="Times New Roman" w:hAnsi="Times New Roman" w:cs="Times New Roman"/>
          <w:color w:val="000000"/>
          <w:sz w:val="24"/>
          <w:szCs w:val="24"/>
          <w:lang w:eastAsia="ru-RU"/>
        </w:rPr>
        <w:t>Березанским</w:t>
      </w:r>
      <w:proofErr w:type="spellEnd"/>
      <w:r w:rsidRPr="00574288">
        <w:rPr>
          <w:rFonts w:ascii="Times New Roman" w:eastAsia="Times New Roman" w:hAnsi="Times New Roman" w:cs="Times New Roman"/>
          <w:color w:val="000000"/>
          <w:sz w:val="24"/>
          <w:szCs w:val="24"/>
          <w:lang w:eastAsia="ru-RU"/>
        </w:rPr>
        <w:t xml:space="preserve"> сельским поселением </w:t>
      </w:r>
      <w:proofErr w:type="spellStart"/>
      <w:r w:rsidRPr="00574288">
        <w:rPr>
          <w:rFonts w:ascii="Times New Roman" w:eastAsia="Times New Roman" w:hAnsi="Times New Roman" w:cs="Times New Roman"/>
          <w:color w:val="000000"/>
          <w:sz w:val="24"/>
          <w:szCs w:val="24"/>
          <w:lang w:eastAsia="ru-RU"/>
        </w:rPr>
        <w:t>Выселковского</w:t>
      </w:r>
      <w:proofErr w:type="spellEnd"/>
      <w:r w:rsidRPr="00574288">
        <w:rPr>
          <w:rFonts w:ascii="Times New Roman" w:eastAsia="Times New Roman" w:hAnsi="Times New Roman" w:cs="Times New Roman"/>
          <w:color w:val="000000"/>
          <w:sz w:val="24"/>
          <w:szCs w:val="24"/>
          <w:lang w:eastAsia="ru-RU"/>
        </w:rPr>
        <w:t xml:space="preserve"> района;</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574288">
        <w:rPr>
          <w:rFonts w:ascii="Times New Roman" w:eastAsia="Times New Roman" w:hAnsi="Times New Roman" w:cs="Times New Roman"/>
          <w:color w:val="000000"/>
          <w:sz w:val="24"/>
          <w:szCs w:val="24"/>
          <w:lang w:eastAsia="ru-RU"/>
        </w:rPr>
        <w:t xml:space="preserve">на западе с </w:t>
      </w:r>
      <w:proofErr w:type="spellStart"/>
      <w:r w:rsidRPr="00574288">
        <w:rPr>
          <w:rFonts w:ascii="Times New Roman" w:eastAsia="Times New Roman" w:hAnsi="Times New Roman" w:cs="Times New Roman"/>
          <w:color w:val="000000"/>
          <w:sz w:val="24"/>
          <w:szCs w:val="24"/>
          <w:lang w:eastAsia="ru-RU"/>
        </w:rPr>
        <w:t>Брюховецким</w:t>
      </w:r>
      <w:proofErr w:type="spellEnd"/>
      <w:r w:rsidRPr="00574288">
        <w:rPr>
          <w:rFonts w:ascii="Times New Roman" w:eastAsia="Times New Roman" w:hAnsi="Times New Roman" w:cs="Times New Roman"/>
          <w:color w:val="000000"/>
          <w:sz w:val="24"/>
          <w:szCs w:val="24"/>
          <w:lang w:eastAsia="ru-RU"/>
        </w:rPr>
        <w:t xml:space="preserve"> районом.</w:t>
      </w:r>
    </w:p>
    <w:p w:rsidR="005F0675" w:rsidRPr="00574288" w:rsidRDefault="00574288" w:rsidP="00574288">
      <w:pPr>
        <w:shd w:val="clear" w:color="auto" w:fill="FFFFFF"/>
        <w:spacing w:after="0" w:line="240" w:lineRule="auto"/>
        <w:ind w:firstLine="547"/>
        <w:jc w:val="both"/>
        <w:rPr>
          <w:rFonts w:ascii="Times New Roman" w:eastAsia="Times New Roman" w:hAnsi="Times New Roman" w:cs="Times New Roman"/>
          <w:color w:val="000000"/>
          <w:sz w:val="24"/>
          <w:szCs w:val="24"/>
          <w:lang w:eastAsia="ru-RU"/>
        </w:rPr>
      </w:pPr>
      <w:r w:rsidRPr="00574288">
        <w:rPr>
          <w:rFonts w:ascii="Times New Roman" w:eastAsia="Times New Roman" w:hAnsi="Times New Roman" w:cs="Times New Roman"/>
          <w:color w:val="000000"/>
          <w:sz w:val="24"/>
          <w:szCs w:val="24"/>
          <w:lang w:eastAsia="ru-RU"/>
        </w:rPr>
        <w:t xml:space="preserve">Законом Краснодарского края «Об установлении границ муниципального образования </w:t>
      </w:r>
      <w:proofErr w:type="spellStart"/>
      <w:r w:rsidRPr="00574288">
        <w:rPr>
          <w:rFonts w:ascii="Times New Roman" w:eastAsia="Times New Roman" w:hAnsi="Times New Roman" w:cs="Times New Roman"/>
          <w:color w:val="000000"/>
          <w:sz w:val="24"/>
          <w:szCs w:val="24"/>
          <w:lang w:eastAsia="ru-RU"/>
        </w:rPr>
        <w:t>Выселковский</w:t>
      </w:r>
      <w:proofErr w:type="spellEnd"/>
      <w:r w:rsidRPr="00574288">
        <w:rPr>
          <w:rFonts w:ascii="Times New Roman" w:eastAsia="Times New Roman" w:hAnsi="Times New Roman" w:cs="Times New Roman"/>
          <w:color w:val="000000"/>
          <w:sz w:val="24"/>
          <w:szCs w:val="24"/>
          <w:lang w:eastAsia="ru-RU"/>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 </w:t>
      </w:r>
      <w:proofErr w:type="spellStart"/>
      <w:r w:rsidRPr="00574288">
        <w:rPr>
          <w:rFonts w:ascii="Times New Roman" w:eastAsia="Times New Roman" w:hAnsi="Times New Roman" w:cs="Times New Roman"/>
          <w:color w:val="000000"/>
          <w:sz w:val="24"/>
          <w:szCs w:val="24"/>
          <w:lang w:eastAsia="ru-RU"/>
        </w:rPr>
        <w:t>Ирклиевское</w:t>
      </w:r>
      <w:proofErr w:type="spellEnd"/>
      <w:r w:rsidRPr="00574288">
        <w:rPr>
          <w:rFonts w:ascii="Times New Roman" w:eastAsia="Times New Roman" w:hAnsi="Times New Roman" w:cs="Times New Roman"/>
          <w:color w:val="000000"/>
          <w:sz w:val="24"/>
          <w:szCs w:val="24"/>
          <w:lang w:eastAsia="ru-RU"/>
        </w:rPr>
        <w:t xml:space="preserve"> сельское поселение образовано в составе муниципального образования </w:t>
      </w:r>
      <w:proofErr w:type="spellStart"/>
      <w:r w:rsidRPr="00574288">
        <w:rPr>
          <w:rFonts w:ascii="Times New Roman" w:eastAsia="Times New Roman" w:hAnsi="Times New Roman" w:cs="Times New Roman"/>
          <w:color w:val="000000"/>
          <w:sz w:val="24"/>
          <w:szCs w:val="24"/>
          <w:lang w:eastAsia="ru-RU"/>
        </w:rPr>
        <w:t>Выселковский</w:t>
      </w:r>
      <w:proofErr w:type="spellEnd"/>
      <w:r w:rsidRPr="00574288">
        <w:rPr>
          <w:rFonts w:ascii="Times New Roman" w:eastAsia="Times New Roman" w:hAnsi="Times New Roman" w:cs="Times New Roman"/>
          <w:color w:val="000000"/>
          <w:sz w:val="24"/>
          <w:szCs w:val="24"/>
          <w:lang w:eastAsia="ru-RU"/>
        </w:rPr>
        <w:t xml:space="preserve"> район и наделено статусом сельского поселения. </w:t>
      </w:r>
    </w:p>
    <w:p w:rsidR="001623FB" w:rsidRPr="00574288" w:rsidRDefault="00610F42" w:rsidP="005F0675">
      <w:pPr>
        <w:spacing w:after="0" w:line="240" w:lineRule="auto"/>
        <w:ind w:firstLine="567"/>
        <w:jc w:val="both"/>
        <w:rPr>
          <w:rFonts w:ascii="Times New Roman" w:eastAsia="Times New Roman" w:hAnsi="Times New Roman" w:cs="Times New Roman"/>
          <w:sz w:val="24"/>
          <w:szCs w:val="24"/>
          <w:lang w:eastAsia="ru-RU"/>
        </w:rPr>
      </w:pPr>
      <w:r w:rsidRPr="00574288">
        <w:rPr>
          <w:rFonts w:ascii="Times New Roman" w:eastAsia="Times New Roman" w:hAnsi="Times New Roman" w:cs="Times New Roman"/>
          <w:sz w:val="24"/>
          <w:szCs w:val="24"/>
          <w:lang w:eastAsia="ru-RU"/>
        </w:rPr>
        <w:t xml:space="preserve">1.1.2. </w:t>
      </w:r>
      <w:r w:rsidR="001623FB" w:rsidRPr="00574288">
        <w:rPr>
          <w:rFonts w:ascii="Times New Roman" w:eastAsia="Times New Roman" w:hAnsi="Times New Roman" w:cs="Times New Roman"/>
          <w:sz w:val="24"/>
          <w:szCs w:val="24"/>
          <w:lang w:eastAsia="ru-RU"/>
        </w:rPr>
        <w:t>Планировочная структура населенн</w:t>
      </w:r>
      <w:r w:rsidR="005F0675" w:rsidRPr="00574288">
        <w:rPr>
          <w:rFonts w:ascii="Times New Roman" w:eastAsia="Times New Roman" w:hAnsi="Times New Roman" w:cs="Times New Roman"/>
          <w:sz w:val="24"/>
          <w:szCs w:val="24"/>
          <w:lang w:eastAsia="ru-RU"/>
        </w:rPr>
        <w:t>ого</w:t>
      </w:r>
      <w:r w:rsidR="001623FB" w:rsidRPr="00574288">
        <w:rPr>
          <w:rFonts w:ascii="Times New Roman" w:eastAsia="Times New Roman" w:hAnsi="Times New Roman" w:cs="Times New Roman"/>
          <w:sz w:val="24"/>
          <w:szCs w:val="24"/>
          <w:lang w:eastAsia="ru-RU"/>
        </w:rPr>
        <w:t xml:space="preserve"> пункт</w:t>
      </w:r>
      <w:r w:rsidR="005F0675" w:rsidRPr="00574288">
        <w:rPr>
          <w:rFonts w:ascii="Times New Roman" w:eastAsia="Times New Roman" w:hAnsi="Times New Roman" w:cs="Times New Roman"/>
          <w:sz w:val="24"/>
          <w:szCs w:val="24"/>
          <w:lang w:eastAsia="ru-RU"/>
        </w:rPr>
        <w:t>а</w:t>
      </w:r>
      <w:r w:rsidR="001623FB" w:rsidRPr="00574288">
        <w:rPr>
          <w:rFonts w:ascii="Times New Roman" w:eastAsia="Times New Roman" w:hAnsi="Times New Roman" w:cs="Times New Roman"/>
          <w:sz w:val="24"/>
          <w:szCs w:val="24"/>
          <w:lang w:eastAsia="ru-RU"/>
        </w:rPr>
        <w:t xml:space="preserve"> сельского поселения.</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sz w:val="24"/>
          <w:szCs w:val="24"/>
          <w:lang w:eastAsia="ru-RU"/>
        </w:rPr>
      </w:pPr>
      <w:r w:rsidRPr="00574288">
        <w:rPr>
          <w:rFonts w:ascii="Times New Roman" w:eastAsia="Times New Roman" w:hAnsi="Times New Roman" w:cs="Times New Roman"/>
          <w:sz w:val="24"/>
          <w:szCs w:val="24"/>
          <w:lang w:eastAsia="ru-RU"/>
        </w:rPr>
        <w:t>Специализацией поселения является сельское хозяйство, которым занимаются личные подсобные хозяйства (ЛПХ) и общественный сектор.  Наиболее крупным представителем данной отрасли, </w:t>
      </w:r>
      <w:hyperlink r:id="rId20" w:tooltip="Выполнение работ" w:history="1">
        <w:r w:rsidRPr="00574288">
          <w:rPr>
            <w:rFonts w:ascii="Times New Roman" w:eastAsia="Times New Roman" w:hAnsi="Times New Roman" w:cs="Times New Roman"/>
            <w:sz w:val="24"/>
            <w:szCs w:val="24"/>
            <w:lang w:eastAsia="ru-RU"/>
          </w:rPr>
          <w:t>выполняющим работы</w:t>
        </w:r>
      </w:hyperlink>
      <w:r w:rsidRPr="00574288">
        <w:rPr>
          <w:rFonts w:ascii="Times New Roman" w:eastAsia="Times New Roman" w:hAnsi="Times New Roman" w:cs="Times New Roman"/>
          <w:sz w:val="24"/>
          <w:szCs w:val="24"/>
          <w:lang w:eastAsia="ru-RU"/>
        </w:rPr>
        <w:t xml:space="preserve"> по производству и переработке сельскохозяйственной продукции на территории </w:t>
      </w:r>
      <w:proofErr w:type="spellStart"/>
      <w:r w:rsidRPr="00574288">
        <w:rPr>
          <w:rFonts w:ascii="Times New Roman" w:eastAsia="Times New Roman" w:hAnsi="Times New Roman" w:cs="Times New Roman"/>
          <w:sz w:val="24"/>
          <w:szCs w:val="24"/>
          <w:lang w:eastAsia="ru-RU"/>
        </w:rPr>
        <w:t>Ирклиевского</w:t>
      </w:r>
      <w:proofErr w:type="spellEnd"/>
      <w:r w:rsidRPr="00574288">
        <w:rPr>
          <w:rFonts w:ascii="Times New Roman" w:eastAsia="Times New Roman" w:hAnsi="Times New Roman" w:cs="Times New Roman"/>
          <w:sz w:val="24"/>
          <w:szCs w:val="24"/>
          <w:lang w:eastAsia="ru-RU"/>
        </w:rPr>
        <w:t xml:space="preserve"> сельского поселения, является имени Ильича».</w:t>
      </w:r>
    </w:p>
    <w:p w:rsidR="00574288" w:rsidRPr="00574288" w:rsidRDefault="00574288" w:rsidP="00574288">
      <w:pPr>
        <w:shd w:val="clear" w:color="auto" w:fill="FFFFFF"/>
        <w:spacing w:after="0" w:line="240" w:lineRule="auto"/>
        <w:ind w:firstLine="547"/>
        <w:jc w:val="both"/>
        <w:rPr>
          <w:rFonts w:ascii="Times New Roman" w:eastAsia="Times New Roman" w:hAnsi="Times New Roman" w:cs="Times New Roman"/>
          <w:sz w:val="24"/>
          <w:szCs w:val="24"/>
          <w:lang w:eastAsia="ru-RU"/>
        </w:rPr>
      </w:pPr>
      <w:r w:rsidRPr="00574288">
        <w:rPr>
          <w:rFonts w:ascii="Times New Roman" w:eastAsia="Times New Roman" w:hAnsi="Times New Roman" w:cs="Times New Roman"/>
          <w:sz w:val="24"/>
          <w:szCs w:val="24"/>
          <w:lang w:eastAsia="ru-RU"/>
        </w:rPr>
        <w:t xml:space="preserve">По территории </w:t>
      </w:r>
      <w:proofErr w:type="spellStart"/>
      <w:r w:rsidRPr="00574288">
        <w:rPr>
          <w:rFonts w:ascii="Times New Roman" w:eastAsia="Times New Roman" w:hAnsi="Times New Roman" w:cs="Times New Roman"/>
          <w:sz w:val="24"/>
          <w:szCs w:val="24"/>
          <w:lang w:eastAsia="ru-RU"/>
        </w:rPr>
        <w:t>Ирклиевского</w:t>
      </w:r>
      <w:proofErr w:type="spellEnd"/>
      <w:r w:rsidRPr="00574288">
        <w:rPr>
          <w:rFonts w:ascii="Times New Roman" w:eastAsia="Times New Roman" w:hAnsi="Times New Roman" w:cs="Times New Roman"/>
          <w:sz w:val="24"/>
          <w:szCs w:val="24"/>
          <w:lang w:eastAsia="ru-RU"/>
        </w:rPr>
        <w:t xml:space="preserve"> сельского поселения проходит участок автомобильной дороги федерального значения трасса «М4-Дон».</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574288">
        <w:rPr>
          <w:rFonts w:ascii="Times New Roman" w:eastAsia="Calibri" w:hAnsi="Times New Roman" w:cs="Times New Roman"/>
          <w:sz w:val="24"/>
          <w:szCs w:val="24"/>
        </w:rPr>
        <w:t>3824</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r w:rsidR="00574288">
        <w:rPr>
          <w:rFonts w:ascii="Times New Roman" w:eastAsia="Times New Roman" w:hAnsi="Times New Roman" w:cs="Times New Roman"/>
          <w:sz w:val="24"/>
          <w:szCs w:val="24"/>
          <w:lang w:eastAsia="ru-RU"/>
        </w:rPr>
        <w:t>а</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610F42">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574288">
        <w:rPr>
          <w:rFonts w:ascii="Times New Roman" w:eastAsia="Calibri" w:hAnsi="Times New Roman" w:cs="Times New Roman"/>
          <w:sz w:val="24"/>
          <w:szCs w:val="24"/>
        </w:rPr>
        <w:t>975</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1"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0C2028" w:rsidRPr="00610F4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610F42">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Pr>
          <w:rFonts w:ascii="Times New Roman" w:eastAsia="Times New Roman" w:hAnsi="Times New Roman" w:cs="Times New Roman"/>
          <w:bCs/>
          <w:iCs/>
          <w:sz w:val="24"/>
          <w:szCs w:val="24"/>
          <w:lang w:eastAsia="ru-RU"/>
        </w:rPr>
        <w:t>.</w:t>
      </w:r>
    </w:p>
    <w:p w:rsidR="00AB366D" w:rsidRPr="00AB366D" w:rsidRDefault="00AB366D" w:rsidP="00AB366D">
      <w:pPr>
        <w:autoSpaceDE w:val="0"/>
        <w:autoSpaceDN w:val="0"/>
        <w:adjustRightInd w:val="0"/>
        <w:spacing w:after="0" w:line="240" w:lineRule="auto"/>
        <w:ind w:right="5" w:firstLine="571"/>
        <w:jc w:val="both"/>
        <w:rPr>
          <w:rFonts w:ascii="Times New Roman" w:eastAsia="Times New Roman" w:hAnsi="Times New Roman" w:cs="Times New Roman"/>
          <w:sz w:val="24"/>
          <w:szCs w:val="24"/>
          <w:lang w:eastAsia="ru-RU"/>
        </w:rPr>
      </w:pPr>
      <w:bookmarkStart w:id="8" w:name="bookmark5"/>
      <w:bookmarkEnd w:id="6"/>
      <w:bookmarkEnd w:id="7"/>
      <w:proofErr w:type="spellStart"/>
      <w:r w:rsidRPr="00AB366D">
        <w:rPr>
          <w:rFonts w:ascii="Times New Roman" w:eastAsia="Times New Roman" w:hAnsi="Times New Roman" w:cs="Times New Roman"/>
          <w:sz w:val="24"/>
          <w:szCs w:val="24"/>
          <w:lang w:eastAsia="ru-RU"/>
        </w:rPr>
        <w:t>И</w:t>
      </w:r>
      <w:bookmarkStart w:id="9" w:name="bookmark6"/>
      <w:bookmarkEnd w:id="8"/>
      <w:r w:rsidRPr="00AB366D">
        <w:rPr>
          <w:rFonts w:ascii="Times New Roman" w:eastAsia="Times New Roman" w:hAnsi="Times New Roman" w:cs="Times New Roman"/>
          <w:sz w:val="24"/>
          <w:szCs w:val="24"/>
          <w:lang w:eastAsia="ru-RU"/>
        </w:rPr>
        <w:t>р</w:t>
      </w:r>
      <w:bookmarkEnd w:id="9"/>
      <w:r w:rsidRPr="00AB366D">
        <w:rPr>
          <w:rFonts w:ascii="Times New Roman" w:eastAsia="Times New Roman" w:hAnsi="Times New Roman" w:cs="Times New Roman"/>
          <w:sz w:val="24"/>
          <w:szCs w:val="24"/>
          <w:lang w:eastAsia="ru-RU"/>
        </w:rPr>
        <w:t>клиевское</w:t>
      </w:r>
      <w:proofErr w:type="spellEnd"/>
      <w:r w:rsidRPr="00AB366D">
        <w:rPr>
          <w:rFonts w:ascii="Times New Roman" w:eastAsia="Times New Roman" w:hAnsi="Times New Roman" w:cs="Times New Roman"/>
          <w:sz w:val="24"/>
          <w:szCs w:val="24"/>
          <w:lang w:eastAsia="ru-RU"/>
        </w:rPr>
        <w:t xml:space="preserve"> сельское поселение расположено в северной части </w:t>
      </w:r>
      <w:proofErr w:type="spellStart"/>
      <w:r w:rsidRPr="00AB366D">
        <w:rPr>
          <w:rFonts w:ascii="Times New Roman" w:eastAsia="Times New Roman" w:hAnsi="Times New Roman" w:cs="Times New Roman"/>
          <w:sz w:val="24"/>
          <w:szCs w:val="24"/>
          <w:lang w:eastAsia="ru-RU"/>
        </w:rPr>
        <w:t>Выселковского</w:t>
      </w:r>
      <w:proofErr w:type="spellEnd"/>
      <w:r w:rsidRPr="00AB366D">
        <w:rPr>
          <w:rFonts w:ascii="Times New Roman" w:eastAsia="Times New Roman" w:hAnsi="Times New Roman" w:cs="Times New Roman"/>
          <w:sz w:val="24"/>
          <w:szCs w:val="24"/>
          <w:lang w:eastAsia="ru-RU"/>
        </w:rPr>
        <w:t xml:space="preserve"> района. По климатическому районированию территория сельского поселения относится к району </w:t>
      </w:r>
      <w:r w:rsidRPr="00AB366D">
        <w:rPr>
          <w:rFonts w:ascii="Times New Roman" w:eastAsia="Times New Roman" w:hAnsi="Times New Roman" w:cs="Times New Roman"/>
          <w:sz w:val="24"/>
          <w:szCs w:val="24"/>
          <w:lang w:val="en-US" w:eastAsia="ru-RU"/>
        </w:rPr>
        <w:t>III</w:t>
      </w:r>
      <w:r w:rsidRPr="00AB366D">
        <w:rPr>
          <w:rFonts w:ascii="Times New Roman" w:eastAsia="Times New Roman" w:hAnsi="Times New Roman" w:cs="Times New Roman"/>
          <w:sz w:val="24"/>
          <w:szCs w:val="24"/>
          <w:lang w:eastAsia="ru-RU"/>
        </w:rPr>
        <w:t>-б, согласно СНиП 23.01-99 «Строительная климатология» для которого характерны: отрицатель</w:t>
      </w:r>
      <w:r w:rsidRPr="00AB366D">
        <w:rPr>
          <w:rFonts w:ascii="Times New Roman" w:eastAsia="Times New Roman" w:hAnsi="Times New Roman" w:cs="Times New Roman"/>
          <w:sz w:val="24"/>
          <w:szCs w:val="24"/>
          <w:lang w:eastAsia="ru-RU"/>
        </w:rPr>
        <w:softHyphen/>
        <w:t>ные температуры воздуха зимой и высокие температуры летом, определяющие необходимую защиту зданий в холодный период и защиту от излишнего перегрева в теплый период года, большой интенсивностью солнечной радиации; - небольшим снежным покровом.</w:t>
      </w:r>
    </w:p>
    <w:p w:rsidR="00AB366D" w:rsidRPr="00AB366D" w:rsidRDefault="00AB366D" w:rsidP="00AB366D">
      <w:pPr>
        <w:autoSpaceDE w:val="0"/>
        <w:autoSpaceDN w:val="0"/>
        <w:adjustRightInd w:val="0"/>
        <w:spacing w:after="0" w:line="240" w:lineRule="auto"/>
        <w:ind w:right="5" w:firstLine="581"/>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Среднемесячная температура самого холодного месяца января, составляет - 3,50</w:t>
      </w:r>
      <w:proofErr w:type="gramStart"/>
      <w:r w:rsidRPr="00AB366D">
        <w:rPr>
          <w:rFonts w:ascii="Times New Roman" w:eastAsia="Times New Roman" w:hAnsi="Times New Roman" w:cs="Times New Roman"/>
          <w:sz w:val="24"/>
          <w:szCs w:val="24"/>
          <w:lang w:eastAsia="ru-RU"/>
        </w:rPr>
        <w:t>С</w:t>
      </w:r>
      <w:proofErr w:type="gramEnd"/>
      <w:r w:rsidRPr="00AB366D">
        <w:rPr>
          <w:rFonts w:ascii="Times New Roman" w:eastAsia="Times New Roman" w:hAnsi="Times New Roman" w:cs="Times New Roman"/>
          <w:sz w:val="24"/>
          <w:szCs w:val="24"/>
          <w:lang w:eastAsia="ru-RU"/>
        </w:rPr>
        <w:t>; самого теплого - июля + 23,30С. Абсолютный максимум температуры воздуха летом +420С, абсолют</w:t>
      </w:r>
      <w:r w:rsidRPr="00AB366D">
        <w:rPr>
          <w:rFonts w:ascii="Times New Roman" w:eastAsia="Times New Roman" w:hAnsi="Times New Roman" w:cs="Times New Roman"/>
          <w:sz w:val="24"/>
          <w:szCs w:val="24"/>
          <w:lang w:eastAsia="ru-RU"/>
        </w:rPr>
        <w:softHyphen/>
        <w:t>ный минимум зимой - минус 340С.</w:t>
      </w:r>
    </w:p>
    <w:p w:rsidR="00AB366D" w:rsidRPr="00AB366D" w:rsidRDefault="00AB366D" w:rsidP="00AB366D">
      <w:pPr>
        <w:autoSpaceDE w:val="0"/>
        <w:autoSpaceDN w:val="0"/>
        <w:adjustRightInd w:val="0"/>
        <w:spacing w:after="0" w:line="240" w:lineRule="auto"/>
        <w:ind w:firstLine="571"/>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lastRenderedPageBreak/>
        <w:t xml:space="preserve">Климат </w:t>
      </w:r>
      <w:proofErr w:type="spellStart"/>
      <w:r w:rsidRPr="00AB366D">
        <w:rPr>
          <w:rFonts w:ascii="Times New Roman" w:eastAsia="Times New Roman" w:hAnsi="Times New Roman" w:cs="Times New Roman"/>
          <w:sz w:val="24"/>
          <w:szCs w:val="24"/>
          <w:lang w:eastAsia="ru-RU"/>
        </w:rPr>
        <w:t>Ирклиевского</w:t>
      </w:r>
      <w:proofErr w:type="spellEnd"/>
      <w:r w:rsidRPr="00AB366D">
        <w:rPr>
          <w:rFonts w:ascii="Times New Roman" w:eastAsia="Times New Roman" w:hAnsi="Times New Roman" w:cs="Times New Roman"/>
          <w:sz w:val="24"/>
          <w:szCs w:val="24"/>
          <w:lang w:eastAsia="ru-RU"/>
        </w:rPr>
        <w:t xml:space="preserve"> сельского поселения умеренно континентальный, с недостаточным увлажнением. Средняя годовая температура воздуха +9,6°С. Зима неустойчивая с частыми от</w:t>
      </w:r>
      <w:r w:rsidRPr="00AB366D">
        <w:rPr>
          <w:rFonts w:ascii="Times New Roman" w:eastAsia="Times New Roman" w:hAnsi="Times New Roman" w:cs="Times New Roman"/>
          <w:sz w:val="24"/>
          <w:szCs w:val="24"/>
          <w:lang w:eastAsia="ru-RU"/>
        </w:rPr>
        <w:softHyphen/>
        <w:t>тепелями и кратковременными морозами, наступающими в первых числах декабря. Наиболь</w:t>
      </w:r>
      <w:r w:rsidRPr="00AB366D">
        <w:rPr>
          <w:rFonts w:ascii="Times New Roman" w:eastAsia="Times New Roman" w:hAnsi="Times New Roman" w:cs="Times New Roman"/>
          <w:sz w:val="24"/>
          <w:szCs w:val="24"/>
          <w:lang w:eastAsia="ru-RU"/>
        </w:rPr>
        <w:softHyphen/>
        <w:t>шая мощность снежного покрова составляет 25 см, продолжительность периода со снежным покровом колеблется от 50 до 65 дней.</w:t>
      </w:r>
    </w:p>
    <w:p w:rsidR="00AB366D" w:rsidRPr="00AB366D" w:rsidRDefault="00AB366D" w:rsidP="00AB366D">
      <w:pPr>
        <w:autoSpaceDE w:val="0"/>
        <w:autoSpaceDN w:val="0"/>
        <w:adjustRightInd w:val="0"/>
        <w:spacing w:after="0" w:line="240" w:lineRule="auto"/>
        <w:ind w:left="566"/>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Весна прохладная, наступает в первой половине марта, сопровождается осадками.</w:t>
      </w:r>
    </w:p>
    <w:p w:rsidR="00AB366D" w:rsidRPr="00AB366D" w:rsidRDefault="00AB366D" w:rsidP="00AB366D">
      <w:pPr>
        <w:autoSpaceDE w:val="0"/>
        <w:autoSpaceDN w:val="0"/>
        <w:adjustRightInd w:val="0"/>
        <w:spacing w:after="0" w:line="240" w:lineRule="auto"/>
        <w:ind w:left="571"/>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Лето сухое, жаркое, начинается в начале мая. Средняя продолжительность лета около 130</w:t>
      </w:r>
    </w:p>
    <w:p w:rsidR="00AB366D" w:rsidRPr="00AB366D" w:rsidRDefault="00AB366D" w:rsidP="00AB366D">
      <w:pPr>
        <w:autoSpaceDE w:val="0"/>
        <w:autoSpaceDN w:val="0"/>
        <w:adjustRightInd w:val="0"/>
        <w:spacing w:after="0" w:line="240" w:lineRule="auto"/>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дней.</w:t>
      </w:r>
    </w:p>
    <w:p w:rsidR="00AB366D" w:rsidRPr="00AB366D" w:rsidRDefault="00AB366D" w:rsidP="00AB366D">
      <w:pPr>
        <w:autoSpaceDE w:val="0"/>
        <w:autoSpaceDN w:val="0"/>
        <w:adjustRightInd w:val="0"/>
        <w:spacing w:after="0" w:line="240" w:lineRule="auto"/>
        <w:ind w:firstLine="571"/>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Осень теплая и мягкая, наступает в конце сентября. Первые заморозки наступают в сере</w:t>
      </w:r>
      <w:r w:rsidRPr="00AB366D">
        <w:rPr>
          <w:rFonts w:ascii="Times New Roman" w:eastAsia="Times New Roman" w:hAnsi="Times New Roman" w:cs="Times New Roman"/>
          <w:sz w:val="24"/>
          <w:szCs w:val="24"/>
          <w:lang w:eastAsia="ru-RU"/>
        </w:rPr>
        <w:softHyphen/>
        <w:t>дине октября. Выхолаживание воздуха в ночные часы приводит к образованию туманов. Боль</w:t>
      </w:r>
      <w:r w:rsidRPr="00AB366D">
        <w:rPr>
          <w:rFonts w:ascii="Times New Roman" w:eastAsia="Times New Roman" w:hAnsi="Times New Roman" w:cs="Times New Roman"/>
          <w:sz w:val="24"/>
          <w:szCs w:val="24"/>
          <w:lang w:eastAsia="ru-RU"/>
        </w:rPr>
        <w:softHyphen/>
        <w:t>ше всего дней с туманами отмечается с ноября по март (30 дней). Общее число дней с тумана</w:t>
      </w:r>
      <w:r w:rsidRPr="00AB366D">
        <w:rPr>
          <w:rFonts w:ascii="Times New Roman" w:eastAsia="Times New Roman" w:hAnsi="Times New Roman" w:cs="Times New Roman"/>
          <w:sz w:val="24"/>
          <w:szCs w:val="24"/>
          <w:lang w:eastAsia="ru-RU"/>
        </w:rPr>
        <w:softHyphen/>
        <w:t>ми достигает 38 дней.</w:t>
      </w:r>
    </w:p>
    <w:p w:rsidR="00AB366D" w:rsidRPr="00AB366D" w:rsidRDefault="00AB366D" w:rsidP="00AB366D">
      <w:pPr>
        <w:autoSpaceDE w:val="0"/>
        <w:autoSpaceDN w:val="0"/>
        <w:adjustRightInd w:val="0"/>
        <w:spacing w:after="0" w:line="240" w:lineRule="auto"/>
        <w:ind w:firstLine="571"/>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Радиационный режим характеризуется поступлением большого количества солнечного тепла. Годовая суммарная радиация около 90-100 ккал/см</w:t>
      </w:r>
      <w:proofErr w:type="gramStart"/>
      <w:r w:rsidRPr="00AB366D">
        <w:rPr>
          <w:rFonts w:ascii="Times New Roman" w:eastAsia="Times New Roman" w:hAnsi="Times New Roman" w:cs="Times New Roman"/>
          <w:sz w:val="24"/>
          <w:szCs w:val="24"/>
          <w:lang w:eastAsia="ru-RU"/>
        </w:rPr>
        <w:t>2</w:t>
      </w:r>
      <w:proofErr w:type="gramEnd"/>
      <w:r w:rsidRPr="00AB366D">
        <w:rPr>
          <w:rFonts w:ascii="Times New Roman" w:eastAsia="Times New Roman" w:hAnsi="Times New Roman" w:cs="Times New Roman"/>
          <w:sz w:val="24"/>
          <w:szCs w:val="24"/>
          <w:lang w:eastAsia="ru-RU"/>
        </w:rPr>
        <w:t xml:space="preserve">, потеря тепла в виде отраженной радиации составляет 60 ккал/см2. Продолжительность солнечного сияния 1900-2400 часов </w:t>
      </w:r>
      <w:proofErr w:type="gramStart"/>
      <w:r w:rsidRPr="00AB366D">
        <w:rPr>
          <w:rFonts w:ascii="Times New Roman" w:eastAsia="Times New Roman" w:hAnsi="Times New Roman" w:cs="Times New Roman"/>
          <w:sz w:val="24"/>
          <w:szCs w:val="24"/>
          <w:lang w:eastAsia="ru-RU"/>
        </w:rPr>
        <w:t>в</w:t>
      </w:r>
      <w:proofErr w:type="gramEnd"/>
    </w:p>
    <w:p w:rsidR="00AB366D" w:rsidRPr="00AB366D" w:rsidRDefault="00AB366D" w:rsidP="00AB366D">
      <w:pPr>
        <w:autoSpaceDE w:val="0"/>
        <w:autoSpaceDN w:val="0"/>
        <w:adjustRightInd w:val="0"/>
        <w:spacing w:after="0" w:line="240" w:lineRule="auto"/>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год.</w:t>
      </w:r>
    </w:p>
    <w:p w:rsidR="00AB366D" w:rsidRPr="00AB366D" w:rsidRDefault="00AB366D" w:rsidP="00AB366D">
      <w:pPr>
        <w:autoSpaceDE w:val="0"/>
        <w:autoSpaceDN w:val="0"/>
        <w:adjustRightInd w:val="0"/>
        <w:spacing w:after="0" w:line="240" w:lineRule="auto"/>
        <w:ind w:firstLine="562"/>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Промерзание почв в равной мере зависит как от температуры воздуха, так и от высоты снежного покрова.</w:t>
      </w:r>
    </w:p>
    <w:p w:rsidR="00AB366D" w:rsidRPr="00AB366D" w:rsidRDefault="00AB366D" w:rsidP="00AB366D">
      <w:pPr>
        <w:autoSpaceDE w:val="0"/>
        <w:autoSpaceDN w:val="0"/>
        <w:adjustRightInd w:val="0"/>
        <w:spacing w:after="0" w:line="240" w:lineRule="auto"/>
        <w:ind w:firstLine="571"/>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w:t>
      </w:r>
      <w:r w:rsidRPr="00AB366D">
        <w:rPr>
          <w:rFonts w:ascii="Times New Roman" w:eastAsia="Times New Roman" w:hAnsi="Times New Roman" w:cs="Times New Roman"/>
          <w:sz w:val="24"/>
          <w:szCs w:val="24"/>
          <w:lang w:eastAsia="ru-RU"/>
        </w:rPr>
        <w:softHyphen/>
        <w:t>ка и колеблется в пределах 60-78 % (средняя за год - 74 %).</w:t>
      </w:r>
    </w:p>
    <w:p w:rsidR="00AB366D" w:rsidRPr="00AB366D" w:rsidRDefault="00AB366D" w:rsidP="00AB366D">
      <w:pPr>
        <w:autoSpaceDE w:val="0"/>
        <w:autoSpaceDN w:val="0"/>
        <w:adjustRightInd w:val="0"/>
        <w:spacing w:before="48" w:after="0" w:line="240" w:lineRule="auto"/>
        <w:ind w:right="10" w:firstLine="571"/>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На рассматриваемой территории преобладают ветры восточных, северо-восточных и юго-западных румбов.</w:t>
      </w:r>
    </w:p>
    <w:p w:rsidR="00AB366D" w:rsidRPr="00AB366D" w:rsidRDefault="00AB366D" w:rsidP="00AB366D">
      <w:pPr>
        <w:autoSpaceDE w:val="0"/>
        <w:autoSpaceDN w:val="0"/>
        <w:adjustRightInd w:val="0"/>
        <w:spacing w:after="0" w:line="240" w:lineRule="auto"/>
        <w:ind w:firstLine="552"/>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Средняя скорость ветра - 3,8 м/</w:t>
      </w:r>
      <w:proofErr w:type="gramStart"/>
      <w:r w:rsidRPr="00AB366D">
        <w:rPr>
          <w:rFonts w:ascii="Times New Roman" w:eastAsia="Times New Roman" w:hAnsi="Times New Roman" w:cs="Times New Roman"/>
          <w:sz w:val="24"/>
          <w:szCs w:val="24"/>
          <w:lang w:eastAsia="ru-RU"/>
        </w:rPr>
        <w:t>с</w:t>
      </w:r>
      <w:proofErr w:type="gramEnd"/>
      <w:r w:rsidRPr="00AB366D">
        <w:rPr>
          <w:rFonts w:ascii="Times New Roman" w:eastAsia="Times New Roman" w:hAnsi="Times New Roman" w:cs="Times New Roman"/>
          <w:sz w:val="24"/>
          <w:szCs w:val="24"/>
          <w:lang w:eastAsia="ru-RU"/>
        </w:rPr>
        <w:t>. Среднее число дней с сильным ветром (более 15 м/с) -16, в холодный период - 10 дней. Осадки являются основным климатическим фактором, опре</w:t>
      </w:r>
      <w:r w:rsidRPr="00AB366D">
        <w:rPr>
          <w:rFonts w:ascii="Times New Roman" w:eastAsia="Times New Roman" w:hAnsi="Times New Roman" w:cs="Times New Roman"/>
          <w:sz w:val="24"/>
          <w:szCs w:val="24"/>
          <w:lang w:eastAsia="ru-RU"/>
        </w:rPr>
        <w:softHyphen/>
        <w:t>деляющим величину поверхностного и подземного стоков. Годовое количество осадков состав</w:t>
      </w:r>
      <w:r w:rsidRPr="00AB366D">
        <w:rPr>
          <w:rFonts w:ascii="Times New Roman" w:eastAsia="Times New Roman" w:hAnsi="Times New Roman" w:cs="Times New Roman"/>
          <w:sz w:val="24"/>
          <w:szCs w:val="24"/>
          <w:lang w:eastAsia="ru-RU"/>
        </w:rPr>
        <w:softHyphen/>
        <w:t>ляет 508 - 640 мм. Основное количество осадков выпадает в теплый период года (60 - 70%). Су</w:t>
      </w:r>
      <w:r w:rsidRPr="00AB366D">
        <w:rPr>
          <w:rFonts w:ascii="Times New Roman" w:eastAsia="Times New Roman" w:hAnsi="Times New Roman" w:cs="Times New Roman"/>
          <w:sz w:val="24"/>
          <w:szCs w:val="24"/>
          <w:lang w:eastAsia="ru-RU"/>
        </w:rPr>
        <w:softHyphen/>
        <w:t>точный максимум осадков - 88 - 112мм. Суммы осадков год от года могут значительно откло</w:t>
      </w:r>
      <w:r w:rsidRPr="00AB366D">
        <w:rPr>
          <w:rFonts w:ascii="Times New Roman" w:eastAsia="Times New Roman" w:hAnsi="Times New Roman" w:cs="Times New Roman"/>
          <w:sz w:val="24"/>
          <w:szCs w:val="24"/>
          <w:lang w:eastAsia="ru-RU"/>
        </w:rPr>
        <w:softHyphen/>
        <w:t>няться от среднего значения.</w:t>
      </w:r>
    </w:p>
    <w:p w:rsidR="00AB366D" w:rsidRPr="00AB366D" w:rsidRDefault="00AB366D" w:rsidP="00AB366D">
      <w:pPr>
        <w:autoSpaceDE w:val="0"/>
        <w:autoSpaceDN w:val="0"/>
        <w:adjustRightInd w:val="0"/>
        <w:spacing w:after="0" w:line="240" w:lineRule="auto"/>
        <w:ind w:firstLine="571"/>
        <w:jc w:val="both"/>
        <w:rPr>
          <w:rFonts w:ascii="Times New Roman" w:eastAsia="Times New Roman" w:hAnsi="Times New Roman" w:cs="Times New Roman"/>
          <w:sz w:val="24"/>
          <w:szCs w:val="24"/>
          <w:lang w:eastAsia="ru-RU"/>
        </w:rPr>
      </w:pPr>
      <w:bookmarkStart w:id="10" w:name="bookmark7"/>
      <w:r w:rsidRPr="00AB366D">
        <w:rPr>
          <w:rFonts w:ascii="Times New Roman" w:eastAsia="Times New Roman" w:hAnsi="Times New Roman" w:cs="Times New Roman"/>
          <w:sz w:val="24"/>
          <w:szCs w:val="24"/>
          <w:lang w:eastAsia="ru-RU"/>
        </w:rPr>
        <w:t>Ф</w:t>
      </w:r>
      <w:bookmarkEnd w:id="10"/>
      <w:r w:rsidRPr="00AB366D">
        <w:rPr>
          <w:rFonts w:ascii="Times New Roman" w:eastAsia="Times New Roman" w:hAnsi="Times New Roman" w:cs="Times New Roman"/>
          <w:sz w:val="24"/>
          <w:szCs w:val="24"/>
          <w:lang w:eastAsia="ru-RU"/>
        </w:rPr>
        <w:t>акторы климата оцениваются как комфортные по месяцам май-сентябрь. Остальные ме</w:t>
      </w:r>
      <w:r w:rsidRPr="00AB366D">
        <w:rPr>
          <w:rFonts w:ascii="Times New Roman" w:eastAsia="Times New Roman" w:hAnsi="Times New Roman" w:cs="Times New Roman"/>
          <w:sz w:val="24"/>
          <w:szCs w:val="24"/>
          <w:lang w:eastAsia="ru-RU"/>
        </w:rPr>
        <w:softHyphen/>
        <w:t>сяцы по биоклиматической оценке дискомфортны.</w:t>
      </w:r>
    </w:p>
    <w:p w:rsidR="00AB366D" w:rsidRPr="00AB366D" w:rsidRDefault="00AB366D" w:rsidP="00AB366D">
      <w:pPr>
        <w:autoSpaceDE w:val="0"/>
        <w:autoSpaceDN w:val="0"/>
        <w:adjustRightInd w:val="0"/>
        <w:spacing w:after="0" w:line="240" w:lineRule="auto"/>
        <w:ind w:right="5" w:firstLine="571"/>
        <w:jc w:val="both"/>
        <w:rPr>
          <w:rFonts w:ascii="Times New Roman" w:eastAsia="Times New Roman" w:hAnsi="Times New Roman" w:cs="Times New Roman"/>
          <w:sz w:val="24"/>
          <w:szCs w:val="24"/>
          <w:lang w:eastAsia="ru-RU"/>
        </w:rPr>
      </w:pPr>
      <w:bookmarkStart w:id="11" w:name="bookmark8"/>
      <w:proofErr w:type="spellStart"/>
      <w:r w:rsidRPr="00AB366D">
        <w:rPr>
          <w:rFonts w:ascii="Times New Roman" w:eastAsia="Times New Roman" w:hAnsi="Times New Roman" w:cs="Times New Roman"/>
          <w:sz w:val="24"/>
          <w:szCs w:val="24"/>
          <w:lang w:eastAsia="ru-RU"/>
        </w:rPr>
        <w:t>И</w:t>
      </w:r>
      <w:bookmarkEnd w:id="11"/>
      <w:r w:rsidRPr="00AB366D">
        <w:rPr>
          <w:rFonts w:ascii="Times New Roman" w:eastAsia="Times New Roman" w:hAnsi="Times New Roman" w:cs="Times New Roman"/>
          <w:sz w:val="24"/>
          <w:szCs w:val="24"/>
          <w:lang w:eastAsia="ru-RU"/>
        </w:rPr>
        <w:t>рклиевское</w:t>
      </w:r>
      <w:proofErr w:type="spellEnd"/>
      <w:r w:rsidRPr="00AB366D">
        <w:rPr>
          <w:rFonts w:ascii="Times New Roman" w:eastAsia="Times New Roman" w:hAnsi="Times New Roman" w:cs="Times New Roman"/>
          <w:sz w:val="24"/>
          <w:szCs w:val="24"/>
          <w:lang w:eastAsia="ru-RU"/>
        </w:rPr>
        <w:t xml:space="preserve"> сельское поселение расположено в долине степных рек </w:t>
      </w:r>
      <w:proofErr w:type="spellStart"/>
      <w:r w:rsidRPr="00AB366D">
        <w:rPr>
          <w:rFonts w:ascii="Times New Roman" w:eastAsia="Times New Roman" w:hAnsi="Times New Roman" w:cs="Times New Roman"/>
          <w:sz w:val="24"/>
          <w:szCs w:val="24"/>
          <w:lang w:eastAsia="ru-RU"/>
        </w:rPr>
        <w:t>Бейсужек</w:t>
      </w:r>
      <w:proofErr w:type="spellEnd"/>
      <w:r w:rsidRPr="00AB366D">
        <w:rPr>
          <w:rFonts w:ascii="Times New Roman" w:eastAsia="Times New Roman" w:hAnsi="Times New Roman" w:cs="Times New Roman"/>
          <w:sz w:val="24"/>
          <w:szCs w:val="24"/>
          <w:lang w:eastAsia="ru-RU"/>
        </w:rPr>
        <w:t xml:space="preserve"> Правый, </w:t>
      </w:r>
      <w:proofErr w:type="gramStart"/>
      <w:r w:rsidRPr="00AB366D">
        <w:rPr>
          <w:rFonts w:ascii="Times New Roman" w:eastAsia="Times New Roman" w:hAnsi="Times New Roman" w:cs="Times New Roman"/>
          <w:sz w:val="24"/>
          <w:szCs w:val="24"/>
          <w:lang w:eastAsia="ru-RU"/>
        </w:rPr>
        <w:t>Рыбная</w:t>
      </w:r>
      <w:proofErr w:type="gramEnd"/>
      <w:r w:rsidRPr="00AB366D">
        <w:rPr>
          <w:rFonts w:ascii="Times New Roman" w:eastAsia="Times New Roman" w:hAnsi="Times New Roman" w:cs="Times New Roman"/>
          <w:sz w:val="24"/>
          <w:szCs w:val="24"/>
          <w:lang w:eastAsia="ru-RU"/>
        </w:rPr>
        <w:t xml:space="preserve"> и Черная на полого-увалистой равнине. Рельеф станицы имеет уклон к реке. Отметки поверхности плавно понижаются. Таким образом, территория станицы согласно [10] классифи</w:t>
      </w:r>
      <w:r w:rsidRPr="00AB366D">
        <w:rPr>
          <w:rFonts w:ascii="Times New Roman" w:eastAsia="Times New Roman" w:hAnsi="Times New Roman" w:cs="Times New Roman"/>
          <w:sz w:val="24"/>
          <w:szCs w:val="24"/>
          <w:lang w:eastAsia="ru-RU"/>
        </w:rPr>
        <w:softHyphen/>
        <w:t>цируется как ложбин</w:t>
      </w:r>
      <w:proofErr w:type="gramStart"/>
      <w:r w:rsidRPr="00AB366D">
        <w:rPr>
          <w:rFonts w:ascii="Times New Roman" w:eastAsia="Times New Roman" w:hAnsi="Times New Roman" w:cs="Times New Roman"/>
          <w:sz w:val="24"/>
          <w:szCs w:val="24"/>
          <w:lang w:eastAsia="ru-RU"/>
        </w:rPr>
        <w:t>а(</w:t>
      </w:r>
      <w:proofErr w:type="gramEnd"/>
      <w:r w:rsidRPr="00AB366D">
        <w:rPr>
          <w:rFonts w:ascii="Times New Roman" w:eastAsia="Times New Roman" w:hAnsi="Times New Roman" w:cs="Times New Roman"/>
          <w:sz w:val="24"/>
          <w:szCs w:val="24"/>
          <w:lang w:eastAsia="ru-RU"/>
        </w:rPr>
        <w:t>впадина), причём влияние рельефа на скорость ветра и скорость атмо</w:t>
      </w:r>
      <w:r w:rsidRPr="00AB366D">
        <w:rPr>
          <w:rFonts w:ascii="Times New Roman" w:eastAsia="Times New Roman" w:hAnsi="Times New Roman" w:cs="Times New Roman"/>
          <w:sz w:val="24"/>
          <w:szCs w:val="24"/>
          <w:lang w:eastAsia="ru-RU"/>
        </w:rPr>
        <w:softHyphen/>
        <w:t xml:space="preserve">сферного загрязнения незначительно, </w:t>
      </w:r>
      <w:proofErr w:type="spellStart"/>
      <w:r w:rsidRPr="00AB366D">
        <w:rPr>
          <w:rFonts w:ascii="Times New Roman" w:eastAsia="Times New Roman" w:hAnsi="Times New Roman" w:cs="Times New Roman"/>
          <w:sz w:val="24"/>
          <w:szCs w:val="24"/>
          <w:lang w:eastAsia="ru-RU"/>
        </w:rPr>
        <w:t>т.к</w:t>
      </w:r>
      <w:proofErr w:type="spellEnd"/>
      <w:r w:rsidRPr="00AB366D">
        <w:rPr>
          <w:rFonts w:ascii="Times New Roman" w:eastAsia="Times New Roman" w:hAnsi="Times New Roman" w:cs="Times New Roman"/>
          <w:sz w:val="24"/>
          <w:szCs w:val="24"/>
          <w:lang w:eastAsia="ru-RU"/>
        </w:rPr>
        <w:t xml:space="preserve"> коэффициент, учитывающий влияние рельефа для расчета распространения загрязняющих веществ в атмосфере равен 1,0.</w:t>
      </w:r>
    </w:p>
    <w:p w:rsidR="00AB366D" w:rsidRPr="00AB366D" w:rsidRDefault="00AB366D" w:rsidP="00AB366D">
      <w:pPr>
        <w:autoSpaceDE w:val="0"/>
        <w:autoSpaceDN w:val="0"/>
        <w:adjustRightInd w:val="0"/>
        <w:spacing w:after="0" w:line="240" w:lineRule="auto"/>
        <w:ind w:right="19" w:firstLine="576"/>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 xml:space="preserve">Гидрография </w:t>
      </w:r>
      <w:proofErr w:type="spellStart"/>
      <w:r w:rsidRPr="00AB366D">
        <w:rPr>
          <w:rFonts w:ascii="Times New Roman" w:eastAsia="Times New Roman" w:hAnsi="Times New Roman" w:cs="Times New Roman"/>
          <w:sz w:val="24"/>
          <w:szCs w:val="24"/>
          <w:lang w:eastAsia="ru-RU"/>
        </w:rPr>
        <w:t>Ирклиевского</w:t>
      </w:r>
      <w:proofErr w:type="spellEnd"/>
      <w:r w:rsidRPr="00AB366D">
        <w:rPr>
          <w:rFonts w:ascii="Times New Roman" w:eastAsia="Times New Roman" w:hAnsi="Times New Roman" w:cs="Times New Roman"/>
          <w:sz w:val="24"/>
          <w:szCs w:val="24"/>
          <w:lang w:eastAsia="ru-RU"/>
        </w:rPr>
        <w:t xml:space="preserve"> сельского поселения представлена реками Правый </w:t>
      </w:r>
      <w:proofErr w:type="spellStart"/>
      <w:r w:rsidRPr="00AB366D">
        <w:rPr>
          <w:rFonts w:ascii="Times New Roman" w:eastAsia="Times New Roman" w:hAnsi="Times New Roman" w:cs="Times New Roman"/>
          <w:sz w:val="24"/>
          <w:szCs w:val="24"/>
          <w:lang w:eastAsia="ru-RU"/>
        </w:rPr>
        <w:t>Бейсужек</w:t>
      </w:r>
      <w:proofErr w:type="spellEnd"/>
      <w:r w:rsidRPr="00AB366D">
        <w:rPr>
          <w:rFonts w:ascii="Times New Roman" w:eastAsia="Times New Roman" w:hAnsi="Times New Roman" w:cs="Times New Roman"/>
          <w:sz w:val="24"/>
          <w:szCs w:val="24"/>
          <w:lang w:eastAsia="ru-RU"/>
        </w:rPr>
        <w:t xml:space="preserve">, Рыбная и Черная и балкой </w:t>
      </w:r>
      <w:proofErr w:type="spellStart"/>
      <w:r w:rsidRPr="00AB366D">
        <w:rPr>
          <w:rFonts w:ascii="Times New Roman" w:eastAsia="Times New Roman" w:hAnsi="Times New Roman" w:cs="Times New Roman"/>
          <w:sz w:val="24"/>
          <w:szCs w:val="24"/>
          <w:lang w:eastAsia="ru-RU"/>
        </w:rPr>
        <w:t>Очеретина</w:t>
      </w:r>
      <w:proofErr w:type="spellEnd"/>
      <w:r w:rsidRPr="00AB366D">
        <w:rPr>
          <w:rFonts w:ascii="Times New Roman" w:eastAsia="Times New Roman" w:hAnsi="Times New Roman" w:cs="Times New Roman"/>
          <w:sz w:val="24"/>
          <w:szCs w:val="24"/>
          <w:lang w:eastAsia="ru-RU"/>
        </w:rPr>
        <w:t>.</w:t>
      </w:r>
    </w:p>
    <w:p w:rsidR="00AB366D" w:rsidRPr="00AB366D" w:rsidRDefault="00AB366D" w:rsidP="00AB366D">
      <w:pPr>
        <w:autoSpaceDE w:val="0"/>
        <w:autoSpaceDN w:val="0"/>
        <w:adjustRightInd w:val="0"/>
        <w:spacing w:after="0" w:line="240" w:lineRule="auto"/>
        <w:ind w:right="10" w:firstLine="562"/>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Реки относятся к категории типичных равнинных степных рек. Питаются реки в основном атмосферными осадками в виде дождя и снега, и отчасти, грунтовыми водами. В соответствии с характером питания, водный режим рек не постоянен, характеризуется ярко выраженным весенним половодьем и низким стоком в летний период. Зимой реки замерзают, причем ледостав наступает, обычно вначале декабря, а освобождаются ото льда в марте.</w:t>
      </w:r>
    </w:p>
    <w:p w:rsidR="00AB366D" w:rsidRPr="00AB366D" w:rsidRDefault="00AB366D" w:rsidP="00AB366D">
      <w:pPr>
        <w:autoSpaceDE w:val="0"/>
        <w:autoSpaceDN w:val="0"/>
        <w:adjustRightInd w:val="0"/>
        <w:spacing w:after="0" w:line="240" w:lineRule="auto"/>
        <w:ind w:right="10" w:firstLine="571"/>
        <w:jc w:val="both"/>
        <w:rPr>
          <w:rFonts w:ascii="Times New Roman" w:eastAsia="Times New Roman" w:hAnsi="Times New Roman" w:cs="Times New Roman"/>
          <w:sz w:val="24"/>
          <w:szCs w:val="24"/>
          <w:lang w:eastAsia="ru-RU"/>
        </w:rPr>
      </w:pPr>
      <w:bookmarkStart w:id="12" w:name="bookmark9"/>
      <w:r w:rsidRPr="00AB366D">
        <w:rPr>
          <w:rFonts w:ascii="Times New Roman" w:eastAsia="Times New Roman" w:hAnsi="Times New Roman" w:cs="Times New Roman"/>
          <w:sz w:val="24"/>
          <w:szCs w:val="24"/>
          <w:lang w:eastAsia="ru-RU"/>
        </w:rPr>
        <w:t>Р</w:t>
      </w:r>
      <w:bookmarkEnd w:id="12"/>
      <w:r w:rsidRPr="00AB366D">
        <w:rPr>
          <w:rFonts w:ascii="Times New Roman" w:eastAsia="Times New Roman" w:hAnsi="Times New Roman" w:cs="Times New Roman"/>
          <w:sz w:val="24"/>
          <w:szCs w:val="24"/>
          <w:lang w:eastAsia="ru-RU"/>
        </w:rPr>
        <w:t>еки заилены, заросшие гидрофильной растительностью. Воды рек не пригодны для хо</w:t>
      </w:r>
      <w:r w:rsidRPr="00AB366D">
        <w:rPr>
          <w:rFonts w:ascii="Times New Roman" w:eastAsia="Times New Roman" w:hAnsi="Times New Roman" w:cs="Times New Roman"/>
          <w:sz w:val="24"/>
          <w:szCs w:val="24"/>
          <w:lang w:eastAsia="ru-RU"/>
        </w:rPr>
        <w:softHyphen/>
        <w:t xml:space="preserve">зяйственно-питьевых целей и </w:t>
      </w:r>
      <w:proofErr w:type="gramStart"/>
      <w:r w:rsidRPr="00AB366D">
        <w:rPr>
          <w:rFonts w:ascii="Times New Roman" w:eastAsia="Times New Roman" w:hAnsi="Times New Roman" w:cs="Times New Roman"/>
          <w:sz w:val="24"/>
          <w:szCs w:val="24"/>
          <w:lang w:eastAsia="ru-RU"/>
        </w:rPr>
        <w:t>мало пригодны</w:t>
      </w:r>
      <w:proofErr w:type="gramEnd"/>
      <w:r w:rsidRPr="00AB366D">
        <w:rPr>
          <w:rFonts w:ascii="Times New Roman" w:eastAsia="Times New Roman" w:hAnsi="Times New Roman" w:cs="Times New Roman"/>
          <w:sz w:val="24"/>
          <w:szCs w:val="24"/>
          <w:lang w:eastAsia="ru-RU"/>
        </w:rPr>
        <w:t xml:space="preserve"> для технических нужд и орошения.</w:t>
      </w:r>
    </w:p>
    <w:p w:rsidR="00AB366D" w:rsidRDefault="00AB366D"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AB366D" w:rsidRDefault="00AB366D"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lastRenderedPageBreak/>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5D1CE7" w:rsidRDefault="005D1CE7"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r w:rsidRPr="005D1CE7">
        <w:rPr>
          <w:rFonts w:ascii="Times New Roman" w:eastAsia="Times New Roman" w:hAnsi="Times New Roman" w:cs="Times New Roman"/>
          <w:color w:val="22272F"/>
          <w:sz w:val="23"/>
          <w:szCs w:val="23"/>
          <w:lang w:eastAsia="ru-RU"/>
        </w:rPr>
        <w:t xml:space="preserve">Таблица </w:t>
      </w:r>
      <w:r w:rsidR="009B3516">
        <w:rPr>
          <w:rFonts w:ascii="Times New Roman" w:eastAsia="Times New Roman" w:hAnsi="Times New Roman" w:cs="Times New Roman"/>
          <w:color w:val="22272F"/>
          <w:sz w:val="23"/>
          <w:szCs w:val="23"/>
          <w:lang w:eastAsia="ru-RU"/>
        </w:rPr>
        <w:t>1</w:t>
      </w:r>
      <w:r w:rsidR="00A94475">
        <w:rPr>
          <w:rFonts w:ascii="Times New Roman" w:eastAsia="Times New Roman" w:hAnsi="Times New Roman" w:cs="Times New Roman"/>
          <w:color w:val="22272F"/>
          <w:sz w:val="23"/>
          <w:szCs w:val="23"/>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lastRenderedPageBreak/>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стоянки для постоянного хранения автомобилей и открытые площадки (гостевые автостоянки) для парковки легковых автомобилей в пределах </w:t>
            </w:r>
            <w:r w:rsidRPr="00657050">
              <w:rPr>
                <w:rFonts w:ascii="Times New Roman" w:eastAsia="Times New Roman" w:hAnsi="Times New Roman" w:cs="Times New Roman"/>
                <w:lang w:eastAsia="ru-RU"/>
              </w:rPr>
              <w:lastRenderedPageBreak/>
              <w:t>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w:t>
            </w:r>
            <w:r w:rsidRPr="00657050">
              <w:rPr>
                <w:rFonts w:ascii="Times New Roman" w:eastAsia="Times New Roman" w:hAnsi="Times New Roman" w:cs="Times New Roman"/>
                <w:lang w:eastAsia="ru-RU"/>
              </w:rPr>
              <w:lastRenderedPageBreak/>
              <w:t>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EF505A" w:rsidP="00722F72">
            <w:pPr>
              <w:pStyle w:val="s16"/>
              <w:spacing w:before="0" w:beforeAutospacing="0" w:after="0" w:afterAutospacing="0"/>
              <w:ind w:left="66" w:right="160"/>
              <w:rPr>
                <w:sz w:val="22"/>
                <w:szCs w:val="22"/>
              </w:rPr>
            </w:pPr>
            <w:hyperlink r:id="rId22"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EF505A" w:rsidP="00722F72">
            <w:pPr>
              <w:pStyle w:val="s16"/>
              <w:spacing w:before="0" w:beforeAutospacing="0" w:after="0" w:afterAutospacing="0"/>
              <w:ind w:left="66" w:right="160"/>
              <w:rPr>
                <w:sz w:val="22"/>
                <w:szCs w:val="22"/>
              </w:rPr>
            </w:pPr>
            <w:hyperlink r:id="rId23"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EF505A" w:rsidP="00722F72">
            <w:pPr>
              <w:pStyle w:val="s16"/>
              <w:spacing w:before="0" w:beforeAutospacing="0" w:after="0" w:afterAutospacing="0"/>
              <w:ind w:left="66" w:right="160"/>
              <w:rPr>
                <w:sz w:val="22"/>
                <w:szCs w:val="22"/>
              </w:rPr>
            </w:pPr>
            <w:hyperlink r:id="rId24"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5"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EF505A" w:rsidP="00C35AF7">
            <w:pPr>
              <w:pStyle w:val="s16"/>
              <w:spacing w:before="0" w:beforeAutospacing="0" w:after="0" w:afterAutospacing="0"/>
              <w:ind w:left="142" w:right="127"/>
              <w:rPr>
                <w:sz w:val="22"/>
                <w:szCs w:val="22"/>
              </w:rPr>
            </w:pPr>
            <w:hyperlink r:id="rId26"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EF505A" w:rsidP="000248EA">
            <w:pPr>
              <w:pStyle w:val="s16"/>
              <w:spacing w:before="0" w:beforeAutospacing="0" w:after="0" w:afterAutospacing="0"/>
              <w:ind w:left="142" w:right="127"/>
              <w:rPr>
                <w:sz w:val="22"/>
                <w:szCs w:val="22"/>
              </w:rPr>
            </w:pPr>
            <w:hyperlink r:id="rId27"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EF505A" w:rsidP="000248EA">
            <w:pPr>
              <w:pStyle w:val="s16"/>
              <w:spacing w:before="0" w:beforeAutospacing="0" w:after="0" w:afterAutospacing="0"/>
              <w:ind w:left="142" w:right="127"/>
              <w:rPr>
                <w:sz w:val="22"/>
                <w:szCs w:val="22"/>
              </w:rPr>
            </w:pPr>
            <w:hyperlink r:id="rId28"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 xml:space="preserve">Об утверждении методических рекомендаций органам государственной власти субъектов </w:t>
            </w:r>
            <w:r w:rsidR="000248EA" w:rsidRPr="00657050">
              <w:rPr>
                <w:sz w:val="22"/>
                <w:szCs w:val="22"/>
              </w:rPr>
              <w:lastRenderedPageBreak/>
              <w:t>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EF505A" w:rsidP="007222D4">
            <w:pPr>
              <w:pStyle w:val="s16"/>
              <w:spacing w:before="0" w:beforeAutospacing="0" w:after="0" w:afterAutospacing="0"/>
              <w:ind w:left="142" w:right="126"/>
              <w:rPr>
                <w:sz w:val="22"/>
                <w:szCs w:val="22"/>
              </w:rPr>
            </w:pPr>
            <w:hyperlink r:id="rId29"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30"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EF505A"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EF505A" w:rsidP="006B59CE">
            <w:pPr>
              <w:shd w:val="clear" w:color="auto" w:fill="FFFFFF"/>
              <w:spacing w:after="0" w:line="240" w:lineRule="auto"/>
              <w:ind w:left="127" w:right="141"/>
              <w:rPr>
                <w:rFonts w:ascii="Times New Roman" w:eastAsia="Times New Roman" w:hAnsi="Times New Roman" w:cs="Times New Roman"/>
                <w:lang w:eastAsia="ru-RU"/>
              </w:rPr>
            </w:pPr>
            <w:hyperlink r:id="rId32"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EF505A"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EF505A" w:rsidP="006B59CE">
            <w:pPr>
              <w:shd w:val="clear" w:color="auto" w:fill="FFFFFF"/>
              <w:spacing w:after="0" w:line="240" w:lineRule="auto"/>
              <w:ind w:left="127" w:right="126"/>
              <w:rPr>
                <w:rFonts w:ascii="Times New Roman" w:eastAsia="Times New Roman" w:hAnsi="Times New Roman" w:cs="Times New Roman"/>
                <w:lang w:eastAsia="ru-RU"/>
              </w:rPr>
            </w:pPr>
            <w:hyperlink r:id="rId34"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EF505A" w:rsidP="000248EA">
            <w:pPr>
              <w:pStyle w:val="s16"/>
              <w:spacing w:before="0" w:beforeAutospacing="0" w:after="0" w:afterAutospacing="0"/>
              <w:ind w:left="142" w:right="127"/>
              <w:rPr>
                <w:sz w:val="22"/>
                <w:szCs w:val="22"/>
              </w:rPr>
            </w:pPr>
            <w:hyperlink r:id="rId3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w:t>
            </w:r>
            <w:r w:rsidRPr="00657050">
              <w:rPr>
                <w:rFonts w:ascii="Times New Roman" w:eastAsia="Times New Roman" w:hAnsi="Times New Roman" w:cs="Times New Roman"/>
                <w:lang w:eastAsia="ru-RU"/>
              </w:rPr>
              <w:lastRenderedPageBreak/>
              <w:t>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3F01BB">
        <w:rPr>
          <w:rFonts w:ascii="Times New Roman" w:eastAsia="Times New Roman" w:hAnsi="Times New Roman" w:cs="Times New Roman"/>
          <w:b/>
          <w:sz w:val="24"/>
          <w:szCs w:val="24"/>
          <w:lang w:eastAsia="ru-RU"/>
        </w:rPr>
        <w:t>Ирклиевского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6"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7"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8"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9"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40"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1"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2"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AB366D" w:rsidRDefault="00AB366D"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AB366D" w:rsidRDefault="00AB366D"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AB366D" w:rsidRDefault="00AB366D"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lastRenderedPageBreak/>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3"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4"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Минимально допустимый уровень обеспеченности </w:t>
            </w:r>
            <w:r w:rsidRPr="0026156E">
              <w:rPr>
                <w:rFonts w:ascii="Times New Roman" w:eastAsia="Times New Roman" w:hAnsi="Times New Roman" w:cs="Times New Roman"/>
                <w:lang w:eastAsia="ru-RU"/>
              </w:rPr>
              <w:lastRenderedPageBreak/>
              <w:t>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Один пост на 200 легковых автомобилей принят согласно </w:t>
            </w:r>
            <w:hyperlink r:id="rId46"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7"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8"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9"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Размер земельного участка для муниципальных общеобразовательных организаций, </w:t>
      </w:r>
      <w:r w:rsidRPr="00FF3E1A">
        <w:rPr>
          <w:rFonts w:ascii="Times New Roman" w:eastAsia="Times New Roman" w:hAnsi="Times New Roman" w:cs="Times New Roman"/>
          <w:sz w:val="24"/>
          <w:szCs w:val="24"/>
          <w:lang w:eastAsia="ru-RU"/>
        </w:rPr>
        <w:lastRenderedPageBreak/>
        <w:t>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50"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AB366D" w:rsidRDefault="002911E5" w:rsidP="00AB366D">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00AB366D">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 xml:space="preserve">Минимально допустимый </w:t>
            </w:r>
            <w:r w:rsidRPr="002911E5">
              <w:rPr>
                <w:rFonts w:ascii="Times New Roman" w:eastAsia="Times New Roman" w:hAnsi="Times New Roman" w:cs="Times New Roman"/>
                <w:lang w:eastAsia="ru-RU"/>
              </w:rPr>
              <w:lastRenderedPageBreak/>
              <w:t>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lastRenderedPageBreak/>
              <w:t xml:space="preserve">Согласно приказу Минздрава России </w:t>
            </w:r>
            <w:r w:rsidRPr="002911E5">
              <w:rPr>
                <w:rFonts w:ascii="Times New Roman" w:eastAsia="Times New Roman" w:hAnsi="Times New Roman" w:cs="Times New Roman"/>
                <w:lang w:eastAsia="ru-RU"/>
              </w:rPr>
              <w:lastRenderedPageBreak/>
              <w:t>№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C335A0">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C335A0">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Об утверждении методик расчета численности и технической оснащенности подразделений пожарной </w:t>
            </w:r>
            <w:r w:rsidRPr="00CF2A1A">
              <w:rPr>
                <w:rFonts w:ascii="Times New Roman" w:eastAsia="Times New Roman" w:hAnsi="Times New Roman" w:cs="Times New Roman"/>
                <w:lang w:eastAsia="ru-RU"/>
              </w:rPr>
              <w:lastRenderedPageBreak/>
              <w:t>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AB366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lastRenderedPageBreak/>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Pr="00AB36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AB366D">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AB36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AB366D">
        <w:rPr>
          <w:rFonts w:ascii="Times New Roman" w:eastAsia="Times New Roman" w:hAnsi="Times New Roman" w:cs="Times New Roman"/>
          <w:sz w:val="24"/>
          <w:szCs w:val="24"/>
          <w:lang w:eastAsia="ru-RU"/>
        </w:rPr>
        <w:t xml:space="preserve"> приведено в таблице 2</w:t>
      </w:r>
      <w:r w:rsidR="00B76305" w:rsidRPr="00AB366D">
        <w:rPr>
          <w:rFonts w:ascii="Times New Roman" w:eastAsia="Times New Roman" w:hAnsi="Times New Roman" w:cs="Times New Roman"/>
          <w:sz w:val="24"/>
          <w:szCs w:val="24"/>
          <w:lang w:eastAsia="ru-RU"/>
        </w:rPr>
        <w:t>1</w:t>
      </w:r>
      <w:r w:rsidRPr="00AB366D">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1"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EF505A" w:rsidP="00B86F6D">
            <w:pPr>
              <w:shd w:val="clear" w:color="auto" w:fill="FFFFFF"/>
              <w:spacing w:after="0" w:line="240" w:lineRule="auto"/>
              <w:ind w:right="126"/>
              <w:rPr>
                <w:rFonts w:ascii="Times New Roman" w:eastAsia="Times New Roman" w:hAnsi="Times New Roman" w:cs="Times New Roman"/>
                <w:lang w:eastAsia="ru-RU"/>
              </w:rPr>
            </w:pPr>
            <w:hyperlink r:id="rId52"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3"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4"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5"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6"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7"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AB366D" w:rsidRDefault="00AB366D"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lastRenderedPageBreak/>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8"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9"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EF505A"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EF505A"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1"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B366D" w:rsidRDefault="00AB366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B366D" w:rsidRDefault="00AB366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B366D" w:rsidRDefault="00AB366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B366D" w:rsidRDefault="00AB366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B366D" w:rsidRDefault="00AB366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2"/>
      <w:footerReference w:type="default" r:id="rId63"/>
      <w:footerReference w:type="first" r:id="rId64"/>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05A" w:rsidRDefault="00EF505A" w:rsidP="00C91100">
      <w:pPr>
        <w:spacing w:after="0" w:line="240" w:lineRule="auto"/>
      </w:pPr>
      <w:r>
        <w:separator/>
      </w:r>
    </w:p>
  </w:endnote>
  <w:endnote w:type="continuationSeparator" w:id="0">
    <w:p w:rsidR="00EF505A" w:rsidRDefault="00EF505A"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3F01BB" w:rsidRDefault="003F01BB">
        <w:pPr>
          <w:pStyle w:val="a9"/>
          <w:jc w:val="right"/>
        </w:pPr>
        <w:r>
          <w:fldChar w:fldCharType="begin"/>
        </w:r>
        <w:r>
          <w:instrText>PAGE   \* MERGEFORMAT</w:instrText>
        </w:r>
        <w:r>
          <w:fldChar w:fldCharType="separate"/>
        </w:r>
        <w:r w:rsidR="00D71A7F">
          <w:rPr>
            <w:noProof/>
          </w:rPr>
          <w:t>7</w:t>
        </w:r>
        <w:r>
          <w:fldChar w:fldCharType="end"/>
        </w:r>
      </w:p>
    </w:sdtContent>
  </w:sdt>
  <w:p w:rsidR="003F01BB" w:rsidRDefault="003F01BB"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3F01BB" w:rsidRDefault="003F01BB">
        <w:pPr>
          <w:pStyle w:val="a9"/>
          <w:jc w:val="right"/>
        </w:pPr>
        <w:r>
          <w:fldChar w:fldCharType="begin"/>
        </w:r>
        <w:r>
          <w:instrText>PAGE   \* MERGEFORMAT</w:instrText>
        </w:r>
        <w:r>
          <w:fldChar w:fldCharType="separate"/>
        </w:r>
        <w:r w:rsidR="00D71A7F">
          <w:rPr>
            <w:noProof/>
          </w:rPr>
          <w:t>1</w:t>
        </w:r>
        <w:r>
          <w:fldChar w:fldCharType="end"/>
        </w:r>
      </w:p>
    </w:sdtContent>
  </w:sdt>
  <w:p w:rsidR="003F01BB" w:rsidRDefault="003F01B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05A" w:rsidRDefault="00EF505A" w:rsidP="00C91100">
      <w:pPr>
        <w:spacing w:after="0" w:line="240" w:lineRule="auto"/>
      </w:pPr>
      <w:r>
        <w:separator/>
      </w:r>
    </w:p>
  </w:footnote>
  <w:footnote w:type="continuationSeparator" w:id="0">
    <w:p w:rsidR="00EF505A" w:rsidRDefault="00EF505A"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1BB" w:rsidRDefault="003F01BB" w:rsidP="00AC5FD7">
    <w:pPr>
      <w:pStyle w:val="a7"/>
      <w:jc w:val="center"/>
      <w:rPr>
        <w:rFonts w:ascii="Times New Roman" w:hAnsi="Times New Roman" w:cs="Times New Roman"/>
        <w:b/>
        <w:color w:val="0070C0"/>
      </w:rPr>
    </w:pPr>
  </w:p>
  <w:p w:rsidR="003F01BB" w:rsidRDefault="003F01BB" w:rsidP="00AC5FD7">
    <w:pPr>
      <w:pStyle w:val="a7"/>
      <w:jc w:val="center"/>
      <w:rPr>
        <w:rFonts w:ascii="Times New Roman" w:hAnsi="Times New Roman" w:cs="Times New Roman"/>
        <w:b/>
        <w:color w:val="0070C0"/>
      </w:rPr>
    </w:pPr>
  </w:p>
  <w:p w:rsidR="003F01BB" w:rsidRDefault="003F01BB"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Pr>
        <w:rFonts w:ascii="Times New Roman" w:hAnsi="Times New Roman" w:cs="Times New Roman"/>
        <w:b/>
        <w:color w:val="0070C0"/>
      </w:rPr>
      <w:t>Ирклиевского</w:t>
    </w:r>
    <w:proofErr w:type="spellEnd"/>
    <w:r>
      <w:rPr>
        <w:rFonts w:ascii="Times New Roman" w:hAnsi="Times New Roman" w:cs="Times New Roman"/>
        <w:b/>
        <w:color w:val="0070C0"/>
      </w:rPr>
      <w:t xml:space="preserve"> сельского поселения</w:t>
    </w:r>
  </w:p>
  <w:p w:rsidR="003F01BB" w:rsidRDefault="003F01BB"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3F01BB" w:rsidRPr="00020A4E" w:rsidRDefault="003F01BB"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2F59"/>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16746"/>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1BB"/>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428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675"/>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2F05"/>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A69"/>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366D"/>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35A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1A7F"/>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05A"/>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23.rosstat.gov.ru/population_kk" TargetMode="External"/><Relationship Id="rId34" Type="http://schemas.openxmlformats.org/officeDocument/2006/relationships/hyperlink" Target="https://internet.garant.ru/" TargetMode="External"/><Relationship Id="rId42" Type="http://schemas.openxmlformats.org/officeDocument/2006/relationships/hyperlink" Target="https://docs.cntd.ru/document/554820821" TargetMode="External"/><Relationship Id="rId47" Type="http://schemas.openxmlformats.org/officeDocument/2006/relationships/hyperlink" Target="https://internet.garant.ru/" TargetMode="External"/><Relationship Id="rId50" Type="http://schemas.openxmlformats.org/officeDocument/2006/relationships/hyperlink" Target="https://docs.cntd.ru/document/608811191" TargetMode="External"/><Relationship Id="rId55" Type="http://schemas.openxmlformats.org/officeDocument/2006/relationships/hyperlink" Target="https://internet.garant.ru/" TargetMode="External"/><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pandia.ru/text/category/vipolnenie_rabot/"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728474306" TargetMode="External"/><Relationship Id="rId54" Type="http://schemas.openxmlformats.org/officeDocument/2006/relationships/hyperlink" Target="https://internet.garant.ru/"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456054209" TargetMode="External"/><Relationship Id="rId40" Type="http://schemas.openxmlformats.org/officeDocument/2006/relationships/hyperlink" Target="https://docs.cntd.ru/document/553937025"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krsdstat.gks.ru/storage/mediabank/PVS1.htm"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1200032042"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DABC4-F789-424B-ABDB-9A4D86789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26004</TotalTime>
  <Pages>44</Pages>
  <Words>16965</Words>
  <Characters>96704</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402</cp:revision>
  <dcterms:created xsi:type="dcterms:W3CDTF">2022-03-03T10:00:00Z</dcterms:created>
  <dcterms:modified xsi:type="dcterms:W3CDTF">2025-12-16T06:57:00Z</dcterms:modified>
</cp:coreProperties>
</file>